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39F82">
      <w:pPr>
        <w:ind w:firstLine="600"/>
        <w:rPr>
          <w:color w:val="auto"/>
        </w:rPr>
      </w:pPr>
    </w:p>
    <w:p w14:paraId="06FB3B70">
      <w:pPr>
        <w:ind w:firstLine="600"/>
        <w:rPr>
          <w:color w:val="auto"/>
        </w:rPr>
      </w:pPr>
    </w:p>
    <w:p w14:paraId="6F23D8E1">
      <w:pPr>
        <w:ind w:firstLine="2409"/>
        <w:rPr>
          <w:b/>
          <w:color w:val="auto"/>
          <w:sz w:val="96"/>
          <w:szCs w:val="96"/>
        </w:rPr>
      </w:pPr>
    </w:p>
    <w:p w14:paraId="4D441B7C">
      <w:pPr>
        <w:jc w:val="center"/>
        <w:rPr>
          <w:b/>
          <w:color w:val="auto"/>
          <w:sz w:val="96"/>
          <w:szCs w:val="96"/>
        </w:rPr>
      </w:pPr>
      <w:r>
        <w:rPr>
          <w:b/>
          <w:color w:val="auto"/>
          <w:sz w:val="96"/>
          <w:szCs w:val="96"/>
        </w:rPr>
        <w:t>磋  商  文  件</w:t>
      </w:r>
    </w:p>
    <w:p w14:paraId="48DF45AE">
      <w:pPr>
        <w:ind w:firstLine="600"/>
        <w:rPr>
          <w:color w:val="auto"/>
        </w:rPr>
      </w:pPr>
    </w:p>
    <w:p w14:paraId="3880F1B0">
      <w:pPr>
        <w:ind w:firstLine="600"/>
        <w:rPr>
          <w:color w:val="auto"/>
        </w:rPr>
      </w:pPr>
    </w:p>
    <w:p w14:paraId="45C4BFBC">
      <w:pPr>
        <w:ind w:firstLine="600"/>
        <w:rPr>
          <w:color w:val="auto"/>
        </w:rPr>
      </w:pPr>
    </w:p>
    <w:p w14:paraId="27FC5E20">
      <w:pPr>
        <w:ind w:firstLine="600"/>
        <w:rPr>
          <w:color w:val="auto"/>
        </w:rPr>
      </w:pPr>
    </w:p>
    <w:p w14:paraId="17B3A866">
      <w:pPr>
        <w:ind w:firstLine="1104"/>
        <w:rPr>
          <w:b/>
          <w:color w:val="auto"/>
          <w:sz w:val="44"/>
          <w:szCs w:val="44"/>
        </w:rPr>
      </w:pPr>
    </w:p>
    <w:p w14:paraId="6250226D">
      <w:pPr>
        <w:ind w:firstLine="1104"/>
        <w:rPr>
          <w:b/>
          <w:color w:val="auto"/>
          <w:sz w:val="44"/>
          <w:szCs w:val="44"/>
        </w:rPr>
      </w:pPr>
    </w:p>
    <w:p w14:paraId="3745937A">
      <w:pPr>
        <w:ind w:firstLine="402"/>
        <w:rPr>
          <w:b/>
          <w:color w:val="auto"/>
          <w:sz w:val="40"/>
          <w:szCs w:val="40"/>
        </w:rPr>
      </w:pPr>
    </w:p>
    <w:p w14:paraId="03378E09">
      <w:pPr>
        <w:ind w:firstLine="402"/>
        <w:rPr>
          <w:b/>
          <w:color w:val="auto"/>
          <w:sz w:val="40"/>
          <w:szCs w:val="40"/>
        </w:rPr>
      </w:pPr>
    </w:p>
    <w:p w14:paraId="0550932A">
      <w:pPr>
        <w:ind w:firstLine="803"/>
        <w:rPr>
          <w:rFonts w:hint="eastAsia" w:eastAsia="宋体"/>
          <w:b/>
          <w:color w:val="auto"/>
          <w:sz w:val="40"/>
          <w:szCs w:val="40"/>
          <w:lang w:eastAsia="zh-CN"/>
        </w:rPr>
      </w:pPr>
      <w:r>
        <w:rPr>
          <w:rFonts w:hint="eastAsia"/>
          <w:b/>
          <w:color w:val="auto"/>
          <w:sz w:val="40"/>
          <w:szCs w:val="40"/>
        </w:rPr>
        <w:t>项目编号：</w:t>
      </w:r>
      <w:r>
        <w:rPr>
          <w:rFonts w:hint="eastAsia"/>
          <w:b/>
          <w:color w:val="auto"/>
          <w:sz w:val="40"/>
          <w:szCs w:val="40"/>
          <w:lang w:eastAsia="zh-CN"/>
        </w:rPr>
        <w:t>JSZC-320581-XTPC-C2025-0040</w:t>
      </w:r>
    </w:p>
    <w:p w14:paraId="7F2A65F5">
      <w:pPr>
        <w:ind w:firstLine="803"/>
        <w:rPr>
          <w:b/>
          <w:color w:val="auto"/>
          <w:sz w:val="40"/>
          <w:szCs w:val="40"/>
        </w:rPr>
      </w:pPr>
      <w:r>
        <w:rPr>
          <w:rFonts w:hint="eastAsia"/>
          <w:b/>
          <w:color w:val="auto"/>
          <w:sz w:val="40"/>
          <w:szCs w:val="40"/>
        </w:rPr>
        <w:t>项目名称：2026年度江苏省预算管理一体化系统常熟地区实施及运维服务</w:t>
      </w:r>
    </w:p>
    <w:p w14:paraId="18966594">
      <w:pPr>
        <w:ind w:firstLine="803"/>
        <w:rPr>
          <w:b/>
          <w:color w:val="auto"/>
          <w:sz w:val="40"/>
          <w:szCs w:val="40"/>
        </w:rPr>
      </w:pPr>
      <w:r>
        <w:rPr>
          <w:rFonts w:hint="eastAsia"/>
          <w:b/>
          <w:color w:val="auto"/>
          <w:sz w:val="40"/>
          <w:szCs w:val="40"/>
        </w:rPr>
        <w:t>项目属性：服务类项目</w:t>
      </w:r>
    </w:p>
    <w:p w14:paraId="5CC39397">
      <w:pPr>
        <w:ind w:firstLine="1104"/>
        <w:rPr>
          <w:b/>
          <w:color w:val="auto"/>
          <w:sz w:val="44"/>
          <w:szCs w:val="44"/>
        </w:rPr>
      </w:pPr>
    </w:p>
    <w:p w14:paraId="5601E3DE">
      <w:pPr>
        <w:ind w:firstLine="1104"/>
        <w:rPr>
          <w:b/>
          <w:color w:val="auto"/>
          <w:sz w:val="44"/>
          <w:szCs w:val="44"/>
        </w:rPr>
      </w:pPr>
    </w:p>
    <w:p w14:paraId="218F9796">
      <w:pPr>
        <w:ind w:firstLine="1104"/>
        <w:rPr>
          <w:b/>
          <w:color w:val="auto"/>
          <w:sz w:val="44"/>
          <w:szCs w:val="44"/>
        </w:rPr>
      </w:pPr>
    </w:p>
    <w:p w14:paraId="1CB72A77">
      <w:pPr>
        <w:ind w:firstLine="1104"/>
        <w:rPr>
          <w:b/>
          <w:color w:val="auto"/>
          <w:sz w:val="44"/>
          <w:szCs w:val="44"/>
        </w:rPr>
      </w:pPr>
    </w:p>
    <w:p w14:paraId="39E4C9F5">
      <w:pPr>
        <w:ind w:firstLine="1104"/>
        <w:rPr>
          <w:b/>
          <w:color w:val="auto"/>
          <w:sz w:val="44"/>
          <w:szCs w:val="44"/>
        </w:rPr>
      </w:pPr>
    </w:p>
    <w:p w14:paraId="192494B9">
      <w:pPr>
        <w:ind w:firstLine="1104"/>
        <w:rPr>
          <w:b/>
          <w:color w:val="auto"/>
          <w:sz w:val="44"/>
          <w:szCs w:val="44"/>
        </w:rPr>
      </w:pPr>
    </w:p>
    <w:p w14:paraId="2B6A3315">
      <w:pPr>
        <w:jc w:val="center"/>
        <w:rPr>
          <w:b/>
          <w:color w:val="auto"/>
          <w:sz w:val="44"/>
          <w:szCs w:val="44"/>
        </w:rPr>
      </w:pPr>
      <w:r>
        <w:rPr>
          <w:rFonts w:hint="eastAsia"/>
          <w:b/>
          <w:color w:val="auto"/>
          <w:sz w:val="44"/>
          <w:szCs w:val="44"/>
        </w:rPr>
        <w:t>苏州新天平工程咨询有限公司</w:t>
      </w:r>
    </w:p>
    <w:p w14:paraId="2436771C">
      <w:pPr>
        <w:jc w:val="center"/>
        <w:rPr>
          <w:b/>
          <w:color w:val="auto"/>
          <w:sz w:val="44"/>
          <w:szCs w:val="44"/>
        </w:rPr>
      </w:pPr>
      <w:r>
        <w:rPr>
          <w:rFonts w:hint="eastAsia"/>
          <w:b/>
          <w:color w:val="auto"/>
          <w:sz w:val="44"/>
          <w:szCs w:val="44"/>
        </w:rPr>
        <w:t>2025年12月</w:t>
      </w:r>
    </w:p>
    <w:p w14:paraId="588435C7">
      <w:pPr>
        <w:ind w:firstLine="600"/>
        <w:jc w:val="center"/>
        <w:rPr>
          <w:color w:val="auto"/>
          <w:sz w:val="36"/>
          <w:szCs w:val="36"/>
        </w:rPr>
      </w:pPr>
      <w:r>
        <w:rPr>
          <w:color w:val="auto"/>
        </w:rPr>
        <w:br w:type="page" w:clear="all"/>
      </w:r>
      <w:r>
        <w:rPr>
          <w:b/>
          <w:color w:val="auto"/>
          <w:sz w:val="40"/>
          <w:szCs w:val="40"/>
        </w:rPr>
        <w:t>目    录</w:t>
      </w:r>
      <w:bookmarkStart w:id="0" w:name="_Toc158691765"/>
    </w:p>
    <w:p w14:paraId="2812237C">
      <w:pPr>
        <w:pStyle w:val="38"/>
        <w:tabs>
          <w:tab w:val="right" w:leader="dot" w:pos="9747"/>
          <w:tab w:val="clear" w:pos="9450"/>
        </w:tabs>
      </w:pPr>
      <w:r>
        <w:rPr>
          <w:b w:val="0"/>
          <w:color w:val="auto"/>
        </w:rPr>
        <w:fldChar w:fldCharType="begin"/>
      </w:r>
      <w:r>
        <w:rPr>
          <w:b w:val="0"/>
          <w:color w:val="auto"/>
        </w:rPr>
        <w:instrText xml:space="preserve"> TOC \o "1-3" \h \z \u </w:instrText>
      </w:r>
      <w:r>
        <w:rPr>
          <w:b w:val="0"/>
          <w:color w:val="auto"/>
        </w:rPr>
        <w:fldChar w:fldCharType="separate"/>
      </w:r>
      <w:r>
        <w:rPr>
          <w:color w:val="auto"/>
        </w:rPr>
        <w:fldChar w:fldCharType="begin"/>
      </w:r>
      <w:r>
        <w:instrText xml:space="preserve"> HYPERLINK \l _Toc16077 </w:instrText>
      </w:r>
      <w:r>
        <w:fldChar w:fldCharType="separate"/>
      </w:r>
      <w:r>
        <w:rPr>
          <w:rFonts w:ascii="Times New Roman" w:hAnsi="Times New Roman"/>
        </w:rPr>
        <w:t>第一章  磋商邀请</w:t>
      </w:r>
      <w:r>
        <w:tab/>
      </w:r>
      <w:r>
        <w:fldChar w:fldCharType="begin"/>
      </w:r>
      <w:r>
        <w:instrText xml:space="preserve"> PAGEREF _Toc16077 \h </w:instrText>
      </w:r>
      <w:r>
        <w:fldChar w:fldCharType="separate"/>
      </w:r>
      <w:r>
        <w:t>1</w:t>
      </w:r>
      <w:r>
        <w:fldChar w:fldCharType="end"/>
      </w:r>
      <w:r>
        <w:rPr>
          <w:color w:val="auto"/>
        </w:rPr>
        <w:fldChar w:fldCharType="end"/>
      </w:r>
    </w:p>
    <w:p w14:paraId="38F2BDC8">
      <w:pPr>
        <w:pStyle w:val="38"/>
        <w:tabs>
          <w:tab w:val="right" w:leader="dot" w:pos="9747"/>
          <w:tab w:val="clear" w:pos="9450"/>
        </w:tabs>
      </w:pPr>
      <w:r>
        <w:rPr>
          <w:color w:val="auto"/>
          <w:szCs w:val="36"/>
        </w:rPr>
        <w:fldChar w:fldCharType="begin"/>
      </w:r>
      <w:r>
        <w:rPr>
          <w:szCs w:val="36"/>
        </w:rPr>
        <w:instrText xml:space="preserve"> HYPERLINK \l _Toc26053 </w:instrText>
      </w:r>
      <w:r>
        <w:rPr>
          <w:szCs w:val="36"/>
        </w:rPr>
        <w:fldChar w:fldCharType="separate"/>
      </w:r>
      <w:r>
        <w:rPr>
          <w:rFonts w:ascii="Times New Roman" w:hAnsi="Times New Roman"/>
        </w:rPr>
        <w:t>第</w:t>
      </w:r>
      <w:r>
        <w:rPr>
          <w:rFonts w:hint="eastAsia" w:ascii="Times New Roman" w:hAnsi="Times New Roman"/>
        </w:rPr>
        <w:t>二</w:t>
      </w:r>
      <w:r>
        <w:rPr>
          <w:rFonts w:ascii="Times New Roman" w:hAnsi="Times New Roman"/>
        </w:rPr>
        <w:t>章  供应商须知</w:t>
      </w:r>
      <w:r>
        <w:tab/>
      </w:r>
      <w:r>
        <w:fldChar w:fldCharType="begin"/>
      </w:r>
      <w:r>
        <w:instrText xml:space="preserve"> PAGEREF _Toc26053 \h </w:instrText>
      </w:r>
      <w:r>
        <w:fldChar w:fldCharType="separate"/>
      </w:r>
      <w:r>
        <w:t>4</w:t>
      </w:r>
      <w:r>
        <w:fldChar w:fldCharType="end"/>
      </w:r>
      <w:r>
        <w:rPr>
          <w:color w:val="auto"/>
          <w:szCs w:val="36"/>
        </w:rPr>
        <w:fldChar w:fldCharType="end"/>
      </w:r>
    </w:p>
    <w:p w14:paraId="194FD532">
      <w:pPr>
        <w:pStyle w:val="49"/>
        <w:tabs>
          <w:tab w:val="right" w:leader="dot" w:pos="9747"/>
          <w:tab w:val="clear" w:pos="9450"/>
        </w:tabs>
      </w:pPr>
      <w:r>
        <w:rPr>
          <w:color w:val="auto"/>
          <w:szCs w:val="36"/>
        </w:rPr>
        <w:fldChar w:fldCharType="begin"/>
      </w:r>
      <w:r>
        <w:rPr>
          <w:szCs w:val="36"/>
        </w:rPr>
        <w:instrText xml:space="preserve"> HYPERLINK \l _Toc6033 </w:instrText>
      </w:r>
      <w:r>
        <w:rPr>
          <w:szCs w:val="36"/>
        </w:rPr>
        <w:fldChar w:fldCharType="separate"/>
      </w:r>
      <w:r>
        <w:t>一、总则</w:t>
      </w:r>
      <w:r>
        <w:tab/>
      </w:r>
      <w:r>
        <w:fldChar w:fldCharType="begin"/>
      </w:r>
      <w:r>
        <w:instrText xml:space="preserve"> PAGEREF _Toc6033 \h </w:instrText>
      </w:r>
      <w:r>
        <w:fldChar w:fldCharType="separate"/>
      </w:r>
      <w:r>
        <w:t>4</w:t>
      </w:r>
      <w:r>
        <w:fldChar w:fldCharType="end"/>
      </w:r>
      <w:r>
        <w:rPr>
          <w:color w:val="auto"/>
          <w:szCs w:val="36"/>
        </w:rPr>
        <w:fldChar w:fldCharType="end"/>
      </w:r>
    </w:p>
    <w:p w14:paraId="1F41695D">
      <w:pPr>
        <w:pStyle w:val="49"/>
        <w:tabs>
          <w:tab w:val="right" w:leader="dot" w:pos="9747"/>
          <w:tab w:val="clear" w:pos="9450"/>
        </w:tabs>
      </w:pPr>
      <w:r>
        <w:rPr>
          <w:color w:val="auto"/>
          <w:szCs w:val="36"/>
        </w:rPr>
        <w:fldChar w:fldCharType="begin"/>
      </w:r>
      <w:r>
        <w:rPr>
          <w:szCs w:val="36"/>
        </w:rPr>
        <w:instrText xml:space="preserve"> HYPERLINK \l _Toc14021 </w:instrText>
      </w:r>
      <w:r>
        <w:rPr>
          <w:szCs w:val="36"/>
        </w:rPr>
        <w:fldChar w:fldCharType="separate"/>
      </w:r>
      <w:r>
        <w:t>二、磋商文件的说明</w:t>
      </w:r>
      <w:r>
        <w:tab/>
      </w:r>
      <w:r>
        <w:fldChar w:fldCharType="begin"/>
      </w:r>
      <w:r>
        <w:instrText xml:space="preserve"> PAGEREF _Toc14021 \h </w:instrText>
      </w:r>
      <w:r>
        <w:fldChar w:fldCharType="separate"/>
      </w:r>
      <w:r>
        <w:t>4</w:t>
      </w:r>
      <w:r>
        <w:fldChar w:fldCharType="end"/>
      </w:r>
      <w:r>
        <w:rPr>
          <w:color w:val="auto"/>
          <w:szCs w:val="36"/>
        </w:rPr>
        <w:fldChar w:fldCharType="end"/>
      </w:r>
    </w:p>
    <w:p w14:paraId="26C50581">
      <w:pPr>
        <w:pStyle w:val="49"/>
        <w:tabs>
          <w:tab w:val="right" w:leader="dot" w:pos="9747"/>
          <w:tab w:val="clear" w:pos="9450"/>
        </w:tabs>
      </w:pPr>
      <w:r>
        <w:rPr>
          <w:color w:val="auto"/>
          <w:szCs w:val="36"/>
        </w:rPr>
        <w:fldChar w:fldCharType="begin"/>
      </w:r>
      <w:r>
        <w:rPr>
          <w:szCs w:val="36"/>
        </w:rPr>
        <w:instrText xml:space="preserve"> HYPERLINK \l _Toc336 </w:instrText>
      </w:r>
      <w:r>
        <w:rPr>
          <w:szCs w:val="36"/>
        </w:rPr>
        <w:fldChar w:fldCharType="separate"/>
      </w:r>
      <w:r>
        <w:t>三、磋商响应文件的编制</w:t>
      </w:r>
      <w:r>
        <w:tab/>
      </w:r>
      <w:r>
        <w:fldChar w:fldCharType="begin"/>
      </w:r>
      <w:r>
        <w:instrText xml:space="preserve"> PAGEREF _Toc336 \h </w:instrText>
      </w:r>
      <w:r>
        <w:fldChar w:fldCharType="separate"/>
      </w:r>
      <w:r>
        <w:t>5</w:t>
      </w:r>
      <w:r>
        <w:fldChar w:fldCharType="end"/>
      </w:r>
      <w:r>
        <w:rPr>
          <w:color w:val="auto"/>
          <w:szCs w:val="36"/>
        </w:rPr>
        <w:fldChar w:fldCharType="end"/>
      </w:r>
    </w:p>
    <w:p w14:paraId="57827256">
      <w:pPr>
        <w:pStyle w:val="49"/>
        <w:tabs>
          <w:tab w:val="right" w:leader="dot" w:pos="9747"/>
          <w:tab w:val="clear" w:pos="9450"/>
        </w:tabs>
      </w:pPr>
      <w:r>
        <w:rPr>
          <w:color w:val="auto"/>
          <w:szCs w:val="36"/>
        </w:rPr>
        <w:fldChar w:fldCharType="begin"/>
      </w:r>
      <w:r>
        <w:rPr>
          <w:szCs w:val="36"/>
        </w:rPr>
        <w:instrText xml:space="preserve"> HYPERLINK \l _Toc5996 </w:instrText>
      </w:r>
      <w:r>
        <w:rPr>
          <w:szCs w:val="36"/>
        </w:rPr>
        <w:fldChar w:fldCharType="separate"/>
      </w:r>
      <w:r>
        <w:t>四、磋商响应文件的提交</w:t>
      </w:r>
      <w:r>
        <w:tab/>
      </w:r>
      <w:r>
        <w:fldChar w:fldCharType="begin"/>
      </w:r>
      <w:r>
        <w:instrText xml:space="preserve"> PAGEREF _Toc5996 \h </w:instrText>
      </w:r>
      <w:r>
        <w:fldChar w:fldCharType="separate"/>
      </w:r>
      <w:r>
        <w:t>7</w:t>
      </w:r>
      <w:r>
        <w:fldChar w:fldCharType="end"/>
      </w:r>
      <w:r>
        <w:rPr>
          <w:color w:val="auto"/>
          <w:szCs w:val="36"/>
        </w:rPr>
        <w:fldChar w:fldCharType="end"/>
      </w:r>
    </w:p>
    <w:p w14:paraId="704089EF">
      <w:pPr>
        <w:pStyle w:val="49"/>
        <w:tabs>
          <w:tab w:val="right" w:leader="dot" w:pos="9747"/>
          <w:tab w:val="clear" w:pos="9450"/>
        </w:tabs>
      </w:pPr>
      <w:r>
        <w:rPr>
          <w:color w:val="auto"/>
          <w:szCs w:val="36"/>
        </w:rPr>
        <w:fldChar w:fldCharType="begin"/>
      </w:r>
      <w:r>
        <w:rPr>
          <w:szCs w:val="36"/>
        </w:rPr>
        <w:instrText xml:space="preserve"> HYPERLINK \l _Toc26958 </w:instrText>
      </w:r>
      <w:r>
        <w:rPr>
          <w:szCs w:val="36"/>
        </w:rPr>
        <w:fldChar w:fldCharType="separate"/>
      </w:r>
      <w:r>
        <w:t>五、磋商与评审</w:t>
      </w:r>
      <w:r>
        <w:tab/>
      </w:r>
      <w:r>
        <w:fldChar w:fldCharType="begin"/>
      </w:r>
      <w:r>
        <w:instrText xml:space="preserve"> PAGEREF _Toc26958 \h </w:instrText>
      </w:r>
      <w:r>
        <w:fldChar w:fldCharType="separate"/>
      </w:r>
      <w:r>
        <w:t>7</w:t>
      </w:r>
      <w:r>
        <w:fldChar w:fldCharType="end"/>
      </w:r>
      <w:r>
        <w:rPr>
          <w:color w:val="auto"/>
          <w:szCs w:val="36"/>
        </w:rPr>
        <w:fldChar w:fldCharType="end"/>
      </w:r>
    </w:p>
    <w:p w14:paraId="30017DBE">
      <w:pPr>
        <w:pStyle w:val="49"/>
        <w:tabs>
          <w:tab w:val="right" w:leader="dot" w:pos="9747"/>
          <w:tab w:val="clear" w:pos="9450"/>
        </w:tabs>
      </w:pPr>
      <w:r>
        <w:rPr>
          <w:color w:val="auto"/>
          <w:szCs w:val="36"/>
        </w:rPr>
        <w:fldChar w:fldCharType="begin"/>
      </w:r>
      <w:r>
        <w:rPr>
          <w:szCs w:val="36"/>
        </w:rPr>
        <w:instrText xml:space="preserve"> HYPERLINK \l _Toc5818 </w:instrText>
      </w:r>
      <w:r>
        <w:rPr>
          <w:szCs w:val="36"/>
        </w:rPr>
        <w:fldChar w:fldCharType="separate"/>
      </w:r>
      <w:r>
        <w:t>六、</w:t>
      </w:r>
      <w:r>
        <w:rPr>
          <w:rFonts w:hint="eastAsia"/>
        </w:rPr>
        <w:t>成交</w:t>
      </w:r>
      <w:r>
        <w:tab/>
      </w:r>
      <w:r>
        <w:fldChar w:fldCharType="begin"/>
      </w:r>
      <w:r>
        <w:instrText xml:space="preserve"> PAGEREF _Toc5818 \h </w:instrText>
      </w:r>
      <w:r>
        <w:fldChar w:fldCharType="separate"/>
      </w:r>
      <w:r>
        <w:t>12</w:t>
      </w:r>
      <w:r>
        <w:fldChar w:fldCharType="end"/>
      </w:r>
      <w:r>
        <w:rPr>
          <w:color w:val="auto"/>
          <w:szCs w:val="36"/>
        </w:rPr>
        <w:fldChar w:fldCharType="end"/>
      </w:r>
    </w:p>
    <w:p w14:paraId="1B7088F3">
      <w:pPr>
        <w:pStyle w:val="49"/>
        <w:tabs>
          <w:tab w:val="right" w:leader="dot" w:pos="9747"/>
          <w:tab w:val="clear" w:pos="9450"/>
        </w:tabs>
      </w:pPr>
      <w:r>
        <w:rPr>
          <w:color w:val="auto"/>
          <w:szCs w:val="36"/>
        </w:rPr>
        <w:fldChar w:fldCharType="begin"/>
      </w:r>
      <w:r>
        <w:rPr>
          <w:szCs w:val="36"/>
        </w:rPr>
        <w:instrText xml:space="preserve"> HYPERLINK \l _Toc17963 </w:instrText>
      </w:r>
      <w:r>
        <w:rPr>
          <w:szCs w:val="36"/>
        </w:rPr>
        <w:fldChar w:fldCharType="separate"/>
      </w:r>
      <w:r>
        <w:rPr>
          <w:rFonts w:hint="eastAsia"/>
        </w:rPr>
        <w:t>七</w:t>
      </w:r>
      <w:r>
        <w:t>、授予合同</w:t>
      </w:r>
      <w:r>
        <w:tab/>
      </w:r>
      <w:r>
        <w:fldChar w:fldCharType="begin"/>
      </w:r>
      <w:r>
        <w:instrText xml:space="preserve"> PAGEREF _Toc17963 \h </w:instrText>
      </w:r>
      <w:r>
        <w:fldChar w:fldCharType="separate"/>
      </w:r>
      <w:r>
        <w:t>14</w:t>
      </w:r>
      <w:r>
        <w:fldChar w:fldCharType="end"/>
      </w:r>
      <w:r>
        <w:rPr>
          <w:color w:val="auto"/>
          <w:szCs w:val="36"/>
        </w:rPr>
        <w:fldChar w:fldCharType="end"/>
      </w:r>
    </w:p>
    <w:p w14:paraId="368AC50F">
      <w:pPr>
        <w:pStyle w:val="38"/>
        <w:tabs>
          <w:tab w:val="right" w:leader="dot" w:pos="9747"/>
          <w:tab w:val="clear" w:pos="9450"/>
        </w:tabs>
      </w:pPr>
      <w:r>
        <w:rPr>
          <w:color w:val="auto"/>
          <w:szCs w:val="36"/>
        </w:rPr>
        <w:fldChar w:fldCharType="begin"/>
      </w:r>
      <w:r>
        <w:rPr>
          <w:szCs w:val="36"/>
        </w:rPr>
        <w:instrText xml:space="preserve"> HYPERLINK \l _Toc28138 </w:instrText>
      </w:r>
      <w:r>
        <w:rPr>
          <w:szCs w:val="36"/>
        </w:rPr>
        <w:fldChar w:fldCharType="separate"/>
      </w:r>
      <w:r>
        <w:rPr>
          <w:rFonts w:ascii="Times New Roman" w:hAnsi="Times New Roman"/>
        </w:rPr>
        <w:t>第</w:t>
      </w:r>
      <w:r>
        <w:rPr>
          <w:rFonts w:hint="eastAsia" w:ascii="Times New Roman" w:hAnsi="Times New Roman"/>
        </w:rPr>
        <w:t>三</w:t>
      </w:r>
      <w:r>
        <w:rPr>
          <w:rFonts w:ascii="Times New Roman" w:hAnsi="Times New Roman"/>
        </w:rPr>
        <w:t>章  合同</w:t>
      </w:r>
      <w:r>
        <w:rPr>
          <w:rFonts w:hint="eastAsia" w:ascii="Times New Roman" w:hAnsi="Times New Roman"/>
        </w:rPr>
        <w:t>文本</w:t>
      </w:r>
      <w:r>
        <w:tab/>
      </w:r>
      <w:r>
        <w:fldChar w:fldCharType="begin"/>
      </w:r>
      <w:r>
        <w:instrText xml:space="preserve"> PAGEREF _Toc28138 \h </w:instrText>
      </w:r>
      <w:r>
        <w:fldChar w:fldCharType="separate"/>
      </w:r>
      <w:r>
        <w:t>15</w:t>
      </w:r>
      <w:r>
        <w:fldChar w:fldCharType="end"/>
      </w:r>
      <w:r>
        <w:rPr>
          <w:color w:val="auto"/>
          <w:szCs w:val="36"/>
        </w:rPr>
        <w:fldChar w:fldCharType="end"/>
      </w:r>
    </w:p>
    <w:p w14:paraId="2D0AD846">
      <w:pPr>
        <w:pStyle w:val="38"/>
        <w:tabs>
          <w:tab w:val="right" w:leader="dot" w:pos="9747"/>
          <w:tab w:val="clear" w:pos="9450"/>
        </w:tabs>
      </w:pPr>
      <w:r>
        <w:rPr>
          <w:color w:val="auto"/>
          <w:szCs w:val="36"/>
        </w:rPr>
        <w:fldChar w:fldCharType="begin"/>
      </w:r>
      <w:r>
        <w:rPr>
          <w:szCs w:val="36"/>
        </w:rPr>
        <w:instrText xml:space="preserve"> HYPERLINK \l _Toc31983 </w:instrText>
      </w:r>
      <w:r>
        <w:rPr>
          <w:szCs w:val="36"/>
        </w:rPr>
        <w:fldChar w:fldCharType="separate"/>
      </w:r>
      <w:r>
        <w:rPr>
          <w:rFonts w:ascii="Times New Roman" w:hAnsi="Times New Roman"/>
        </w:rPr>
        <w:t xml:space="preserve">第四章  </w:t>
      </w:r>
      <w:r>
        <w:rPr>
          <w:rFonts w:hint="eastAsia" w:ascii="Times New Roman" w:hAnsi="Times New Roman"/>
        </w:rPr>
        <w:t>采购</w:t>
      </w:r>
      <w:r>
        <w:rPr>
          <w:rFonts w:ascii="Times New Roman" w:hAnsi="Times New Roman"/>
        </w:rPr>
        <w:t>需求</w:t>
      </w:r>
      <w:r>
        <w:tab/>
      </w:r>
      <w:r>
        <w:fldChar w:fldCharType="begin"/>
      </w:r>
      <w:r>
        <w:instrText xml:space="preserve"> PAGEREF _Toc31983 \h </w:instrText>
      </w:r>
      <w:r>
        <w:fldChar w:fldCharType="separate"/>
      </w:r>
      <w:r>
        <w:t>21</w:t>
      </w:r>
      <w:r>
        <w:fldChar w:fldCharType="end"/>
      </w:r>
      <w:r>
        <w:rPr>
          <w:color w:val="auto"/>
          <w:szCs w:val="36"/>
        </w:rPr>
        <w:fldChar w:fldCharType="end"/>
      </w:r>
    </w:p>
    <w:p w14:paraId="15D0DEE2">
      <w:pPr>
        <w:pStyle w:val="49"/>
        <w:tabs>
          <w:tab w:val="right" w:leader="dot" w:pos="9747"/>
          <w:tab w:val="clear" w:pos="9450"/>
        </w:tabs>
      </w:pPr>
      <w:r>
        <w:rPr>
          <w:color w:val="auto"/>
          <w:szCs w:val="36"/>
        </w:rPr>
        <w:fldChar w:fldCharType="begin"/>
      </w:r>
      <w:r>
        <w:rPr>
          <w:szCs w:val="36"/>
        </w:rPr>
        <w:instrText xml:space="preserve"> HYPERLINK \l _Toc970 </w:instrText>
      </w:r>
      <w:r>
        <w:rPr>
          <w:szCs w:val="36"/>
        </w:rPr>
        <w:fldChar w:fldCharType="separate"/>
      </w:r>
      <w:r>
        <w:rPr>
          <w:bCs/>
          <w:szCs w:val="28"/>
        </w:rPr>
        <w:t>一、项目说明：</w:t>
      </w:r>
      <w:r>
        <w:tab/>
      </w:r>
      <w:r>
        <w:fldChar w:fldCharType="begin"/>
      </w:r>
      <w:r>
        <w:instrText xml:space="preserve"> PAGEREF _Toc970 \h </w:instrText>
      </w:r>
      <w:r>
        <w:fldChar w:fldCharType="separate"/>
      </w:r>
      <w:r>
        <w:t>21</w:t>
      </w:r>
      <w:r>
        <w:fldChar w:fldCharType="end"/>
      </w:r>
      <w:r>
        <w:rPr>
          <w:color w:val="auto"/>
          <w:szCs w:val="36"/>
        </w:rPr>
        <w:fldChar w:fldCharType="end"/>
      </w:r>
    </w:p>
    <w:p w14:paraId="310AC9C8">
      <w:pPr>
        <w:pStyle w:val="49"/>
        <w:tabs>
          <w:tab w:val="right" w:leader="dot" w:pos="9747"/>
          <w:tab w:val="clear" w:pos="9450"/>
        </w:tabs>
      </w:pPr>
      <w:r>
        <w:rPr>
          <w:color w:val="auto"/>
          <w:szCs w:val="36"/>
        </w:rPr>
        <w:fldChar w:fldCharType="begin"/>
      </w:r>
      <w:r>
        <w:rPr>
          <w:szCs w:val="36"/>
        </w:rPr>
        <w:instrText xml:space="preserve"> HYPERLINK \l _Toc16234 </w:instrText>
      </w:r>
      <w:r>
        <w:rPr>
          <w:szCs w:val="36"/>
        </w:rPr>
        <w:fldChar w:fldCharType="separate"/>
      </w:r>
      <w:r>
        <w:rPr>
          <w:rFonts w:hint="eastAsia"/>
          <w:bCs/>
          <w:szCs w:val="28"/>
        </w:rPr>
        <w:t>二、项目服务内容及服务要求</w:t>
      </w:r>
      <w:r>
        <w:tab/>
      </w:r>
      <w:r>
        <w:fldChar w:fldCharType="begin"/>
      </w:r>
      <w:r>
        <w:instrText xml:space="preserve"> PAGEREF _Toc16234 \h </w:instrText>
      </w:r>
      <w:r>
        <w:fldChar w:fldCharType="separate"/>
      </w:r>
      <w:r>
        <w:t>21</w:t>
      </w:r>
      <w:r>
        <w:fldChar w:fldCharType="end"/>
      </w:r>
      <w:r>
        <w:rPr>
          <w:color w:val="auto"/>
          <w:szCs w:val="36"/>
        </w:rPr>
        <w:fldChar w:fldCharType="end"/>
      </w:r>
    </w:p>
    <w:p w14:paraId="5BF06C74">
      <w:pPr>
        <w:pStyle w:val="49"/>
        <w:tabs>
          <w:tab w:val="right" w:leader="dot" w:pos="9747"/>
          <w:tab w:val="clear" w:pos="9450"/>
        </w:tabs>
      </w:pPr>
      <w:r>
        <w:rPr>
          <w:color w:val="auto"/>
          <w:szCs w:val="36"/>
        </w:rPr>
        <w:fldChar w:fldCharType="begin"/>
      </w:r>
      <w:r>
        <w:rPr>
          <w:szCs w:val="36"/>
        </w:rPr>
        <w:instrText xml:space="preserve"> HYPERLINK \l _Toc21790 </w:instrText>
      </w:r>
      <w:r>
        <w:rPr>
          <w:szCs w:val="36"/>
        </w:rPr>
        <w:fldChar w:fldCharType="separate"/>
      </w:r>
      <w:r>
        <w:rPr>
          <w:rFonts w:hint="eastAsia"/>
          <w:bCs/>
          <w:szCs w:val="28"/>
        </w:rPr>
        <w:t>三、其他要求：</w:t>
      </w:r>
      <w:r>
        <w:tab/>
      </w:r>
      <w:r>
        <w:fldChar w:fldCharType="begin"/>
      </w:r>
      <w:r>
        <w:instrText xml:space="preserve"> PAGEREF _Toc21790 \h </w:instrText>
      </w:r>
      <w:r>
        <w:fldChar w:fldCharType="separate"/>
      </w:r>
      <w:r>
        <w:t>26</w:t>
      </w:r>
      <w:r>
        <w:fldChar w:fldCharType="end"/>
      </w:r>
      <w:r>
        <w:rPr>
          <w:color w:val="auto"/>
          <w:szCs w:val="36"/>
        </w:rPr>
        <w:fldChar w:fldCharType="end"/>
      </w:r>
    </w:p>
    <w:p w14:paraId="67E35A90">
      <w:pPr>
        <w:pStyle w:val="49"/>
        <w:tabs>
          <w:tab w:val="right" w:leader="dot" w:pos="9747"/>
          <w:tab w:val="clear" w:pos="9450"/>
        </w:tabs>
      </w:pPr>
      <w:r>
        <w:rPr>
          <w:color w:val="auto"/>
          <w:szCs w:val="36"/>
        </w:rPr>
        <w:fldChar w:fldCharType="begin"/>
      </w:r>
      <w:r>
        <w:rPr>
          <w:szCs w:val="36"/>
        </w:rPr>
        <w:instrText xml:space="preserve"> HYPERLINK \l _Toc2816 </w:instrText>
      </w:r>
      <w:r>
        <w:rPr>
          <w:szCs w:val="36"/>
        </w:rPr>
        <w:fldChar w:fldCharType="separate"/>
      </w:r>
      <w:r>
        <w:rPr>
          <w:rFonts w:hint="eastAsia"/>
          <w:bCs/>
          <w:szCs w:val="28"/>
        </w:rPr>
        <w:t>四、验收：</w:t>
      </w:r>
      <w:r>
        <w:tab/>
      </w:r>
      <w:r>
        <w:fldChar w:fldCharType="begin"/>
      </w:r>
      <w:r>
        <w:instrText xml:space="preserve"> PAGEREF _Toc2816 \h </w:instrText>
      </w:r>
      <w:r>
        <w:fldChar w:fldCharType="separate"/>
      </w:r>
      <w:r>
        <w:t>28</w:t>
      </w:r>
      <w:r>
        <w:fldChar w:fldCharType="end"/>
      </w:r>
      <w:r>
        <w:rPr>
          <w:color w:val="auto"/>
          <w:szCs w:val="36"/>
        </w:rPr>
        <w:fldChar w:fldCharType="end"/>
      </w:r>
    </w:p>
    <w:p w14:paraId="061ED721">
      <w:pPr>
        <w:pStyle w:val="49"/>
        <w:tabs>
          <w:tab w:val="right" w:leader="dot" w:pos="9747"/>
          <w:tab w:val="clear" w:pos="9450"/>
        </w:tabs>
      </w:pPr>
      <w:r>
        <w:rPr>
          <w:color w:val="auto"/>
          <w:szCs w:val="36"/>
        </w:rPr>
        <w:fldChar w:fldCharType="begin"/>
      </w:r>
      <w:r>
        <w:rPr>
          <w:szCs w:val="36"/>
        </w:rPr>
        <w:instrText xml:space="preserve"> HYPERLINK \l _Toc5384 </w:instrText>
      </w:r>
      <w:r>
        <w:rPr>
          <w:szCs w:val="36"/>
        </w:rPr>
        <w:fldChar w:fldCharType="separate"/>
      </w:r>
      <w:r>
        <w:rPr>
          <w:rFonts w:hint="eastAsia"/>
          <w:bCs/>
          <w:szCs w:val="28"/>
        </w:rPr>
        <w:t>五、报价要求：</w:t>
      </w:r>
      <w:r>
        <w:tab/>
      </w:r>
      <w:r>
        <w:fldChar w:fldCharType="begin"/>
      </w:r>
      <w:r>
        <w:instrText xml:space="preserve"> PAGEREF _Toc5384 \h </w:instrText>
      </w:r>
      <w:r>
        <w:fldChar w:fldCharType="separate"/>
      </w:r>
      <w:r>
        <w:t>28</w:t>
      </w:r>
      <w:r>
        <w:fldChar w:fldCharType="end"/>
      </w:r>
      <w:r>
        <w:rPr>
          <w:color w:val="auto"/>
          <w:szCs w:val="36"/>
        </w:rPr>
        <w:fldChar w:fldCharType="end"/>
      </w:r>
    </w:p>
    <w:p w14:paraId="4D1B05B7">
      <w:pPr>
        <w:pStyle w:val="38"/>
        <w:tabs>
          <w:tab w:val="right" w:leader="dot" w:pos="9747"/>
          <w:tab w:val="clear" w:pos="9450"/>
        </w:tabs>
      </w:pPr>
      <w:r>
        <w:rPr>
          <w:color w:val="auto"/>
          <w:szCs w:val="36"/>
        </w:rPr>
        <w:fldChar w:fldCharType="begin"/>
      </w:r>
      <w:r>
        <w:rPr>
          <w:szCs w:val="36"/>
        </w:rPr>
        <w:instrText xml:space="preserve"> HYPERLINK \l _Toc17884 </w:instrText>
      </w:r>
      <w:r>
        <w:rPr>
          <w:szCs w:val="36"/>
        </w:rPr>
        <w:fldChar w:fldCharType="separate"/>
      </w:r>
      <w:r>
        <w:rPr>
          <w:rFonts w:ascii="Times New Roman" w:hAnsi="Times New Roman"/>
        </w:rPr>
        <w:t xml:space="preserve">第五章  </w:t>
      </w:r>
      <w:r>
        <w:rPr>
          <w:rFonts w:hint="eastAsia" w:ascii="Times New Roman" w:hAnsi="Times New Roman"/>
        </w:rPr>
        <w:t>评标方法与评标标准</w:t>
      </w:r>
      <w:r>
        <w:tab/>
      </w:r>
      <w:r>
        <w:fldChar w:fldCharType="begin"/>
      </w:r>
      <w:r>
        <w:instrText xml:space="preserve"> PAGEREF _Toc17884 \h </w:instrText>
      </w:r>
      <w:r>
        <w:fldChar w:fldCharType="separate"/>
      </w:r>
      <w:r>
        <w:t>29</w:t>
      </w:r>
      <w:r>
        <w:fldChar w:fldCharType="end"/>
      </w:r>
      <w:r>
        <w:rPr>
          <w:color w:val="auto"/>
          <w:szCs w:val="36"/>
        </w:rPr>
        <w:fldChar w:fldCharType="end"/>
      </w:r>
    </w:p>
    <w:p w14:paraId="5E7633A9">
      <w:pPr>
        <w:pStyle w:val="38"/>
        <w:tabs>
          <w:tab w:val="right" w:leader="dot" w:pos="9747"/>
          <w:tab w:val="clear" w:pos="9450"/>
        </w:tabs>
      </w:pPr>
      <w:r>
        <w:rPr>
          <w:color w:val="auto"/>
          <w:szCs w:val="36"/>
        </w:rPr>
        <w:fldChar w:fldCharType="begin"/>
      </w:r>
      <w:r>
        <w:rPr>
          <w:szCs w:val="36"/>
        </w:rPr>
        <w:instrText xml:space="preserve"> HYPERLINK \l _Toc4298 </w:instrText>
      </w:r>
      <w:r>
        <w:rPr>
          <w:szCs w:val="36"/>
        </w:rPr>
        <w:fldChar w:fldCharType="separate"/>
      </w:r>
      <w:r>
        <w:rPr>
          <w:rFonts w:ascii="Times New Roman" w:hAnsi="Times New Roman"/>
        </w:rPr>
        <w:t>第</w:t>
      </w:r>
      <w:r>
        <w:rPr>
          <w:rFonts w:hint="eastAsia" w:ascii="Times New Roman" w:hAnsi="Times New Roman"/>
        </w:rPr>
        <w:t>六</w:t>
      </w:r>
      <w:r>
        <w:rPr>
          <w:rFonts w:ascii="Times New Roman" w:hAnsi="Times New Roman"/>
        </w:rPr>
        <w:t>章  磋商响应文件格式</w:t>
      </w:r>
      <w:r>
        <w:tab/>
      </w:r>
      <w:r>
        <w:fldChar w:fldCharType="begin"/>
      </w:r>
      <w:r>
        <w:instrText xml:space="preserve"> PAGEREF _Toc4298 \h </w:instrText>
      </w:r>
      <w:r>
        <w:fldChar w:fldCharType="separate"/>
      </w:r>
      <w:r>
        <w:t>34</w:t>
      </w:r>
      <w:r>
        <w:fldChar w:fldCharType="end"/>
      </w:r>
      <w:r>
        <w:rPr>
          <w:color w:val="auto"/>
          <w:szCs w:val="36"/>
        </w:rPr>
        <w:fldChar w:fldCharType="end"/>
      </w:r>
    </w:p>
    <w:p w14:paraId="663857FB">
      <w:pPr>
        <w:pStyle w:val="49"/>
        <w:tabs>
          <w:tab w:val="right" w:leader="dot" w:pos="9747"/>
          <w:tab w:val="clear" w:pos="9450"/>
        </w:tabs>
      </w:pPr>
      <w:r>
        <w:rPr>
          <w:color w:val="auto"/>
          <w:szCs w:val="36"/>
        </w:rPr>
        <w:fldChar w:fldCharType="begin"/>
      </w:r>
      <w:r>
        <w:rPr>
          <w:szCs w:val="36"/>
        </w:rPr>
        <w:instrText xml:space="preserve"> HYPERLINK \l _Toc31026 </w:instrText>
      </w:r>
      <w:r>
        <w:rPr>
          <w:szCs w:val="36"/>
        </w:rPr>
        <w:fldChar w:fldCharType="separate"/>
      </w:r>
      <w:r>
        <w:rPr>
          <w:rFonts w:hint="eastAsia"/>
        </w:rPr>
        <w:t>附件</w:t>
      </w:r>
      <w:r>
        <w:t>1</w:t>
      </w:r>
      <w:r>
        <w:rPr>
          <w:rFonts w:hint="eastAsia"/>
        </w:rPr>
        <w:t xml:space="preserve"> </w:t>
      </w:r>
      <w:r>
        <w:t>报价一览表</w:t>
      </w:r>
      <w:r>
        <w:tab/>
      </w:r>
      <w:r>
        <w:fldChar w:fldCharType="begin"/>
      </w:r>
      <w:r>
        <w:instrText xml:space="preserve"> PAGEREF _Toc31026 \h </w:instrText>
      </w:r>
      <w:r>
        <w:fldChar w:fldCharType="separate"/>
      </w:r>
      <w:r>
        <w:t>36</w:t>
      </w:r>
      <w:r>
        <w:fldChar w:fldCharType="end"/>
      </w:r>
      <w:r>
        <w:rPr>
          <w:color w:val="auto"/>
          <w:szCs w:val="36"/>
        </w:rPr>
        <w:fldChar w:fldCharType="end"/>
      </w:r>
    </w:p>
    <w:p w14:paraId="41CBCAF9">
      <w:pPr>
        <w:pStyle w:val="49"/>
        <w:tabs>
          <w:tab w:val="right" w:leader="dot" w:pos="9747"/>
          <w:tab w:val="clear" w:pos="9450"/>
        </w:tabs>
      </w:pPr>
      <w:r>
        <w:rPr>
          <w:color w:val="auto"/>
          <w:szCs w:val="36"/>
        </w:rPr>
        <w:fldChar w:fldCharType="begin"/>
      </w:r>
      <w:r>
        <w:rPr>
          <w:szCs w:val="36"/>
        </w:rPr>
        <w:instrText xml:space="preserve"> HYPERLINK \l _Toc17 </w:instrText>
      </w:r>
      <w:r>
        <w:rPr>
          <w:szCs w:val="36"/>
        </w:rPr>
        <w:fldChar w:fldCharType="separate"/>
      </w:r>
      <w:r>
        <w:rPr>
          <w:rFonts w:hint="eastAsia"/>
        </w:rPr>
        <w:t>附件2 投入费用明细表</w:t>
      </w:r>
      <w:r>
        <w:tab/>
      </w:r>
      <w:r>
        <w:fldChar w:fldCharType="begin"/>
      </w:r>
      <w:r>
        <w:instrText xml:space="preserve"> PAGEREF _Toc17 \h </w:instrText>
      </w:r>
      <w:r>
        <w:fldChar w:fldCharType="separate"/>
      </w:r>
      <w:r>
        <w:t>37</w:t>
      </w:r>
      <w:r>
        <w:fldChar w:fldCharType="end"/>
      </w:r>
      <w:r>
        <w:rPr>
          <w:color w:val="auto"/>
          <w:szCs w:val="36"/>
        </w:rPr>
        <w:fldChar w:fldCharType="end"/>
      </w:r>
    </w:p>
    <w:p w14:paraId="4493267C">
      <w:pPr>
        <w:pStyle w:val="49"/>
        <w:tabs>
          <w:tab w:val="right" w:leader="dot" w:pos="9747"/>
          <w:tab w:val="clear" w:pos="9450"/>
        </w:tabs>
      </w:pPr>
      <w:r>
        <w:rPr>
          <w:color w:val="auto"/>
          <w:szCs w:val="36"/>
        </w:rPr>
        <w:fldChar w:fldCharType="begin"/>
      </w:r>
      <w:r>
        <w:rPr>
          <w:szCs w:val="36"/>
        </w:rPr>
        <w:instrText xml:space="preserve"> HYPERLINK \l _Toc6176 </w:instrText>
      </w:r>
      <w:r>
        <w:rPr>
          <w:szCs w:val="36"/>
        </w:rPr>
        <w:fldChar w:fldCharType="separate"/>
      </w:r>
      <w:r>
        <w:rPr>
          <w:rFonts w:hint="eastAsia"/>
        </w:rPr>
        <w:t xml:space="preserve">附件3 </w:t>
      </w:r>
      <w:r>
        <w:t>项目服务要求响应及偏离表</w:t>
      </w:r>
      <w:r>
        <w:tab/>
      </w:r>
      <w:r>
        <w:fldChar w:fldCharType="begin"/>
      </w:r>
      <w:r>
        <w:instrText xml:space="preserve"> PAGEREF _Toc6176 \h </w:instrText>
      </w:r>
      <w:r>
        <w:fldChar w:fldCharType="separate"/>
      </w:r>
      <w:r>
        <w:t>38</w:t>
      </w:r>
      <w:r>
        <w:fldChar w:fldCharType="end"/>
      </w:r>
      <w:r>
        <w:rPr>
          <w:color w:val="auto"/>
          <w:szCs w:val="36"/>
        </w:rPr>
        <w:fldChar w:fldCharType="end"/>
      </w:r>
    </w:p>
    <w:p w14:paraId="4648B0DA">
      <w:pPr>
        <w:pStyle w:val="49"/>
        <w:tabs>
          <w:tab w:val="right" w:leader="dot" w:pos="9747"/>
          <w:tab w:val="clear" w:pos="9450"/>
        </w:tabs>
      </w:pPr>
      <w:r>
        <w:rPr>
          <w:color w:val="auto"/>
          <w:szCs w:val="36"/>
        </w:rPr>
        <w:fldChar w:fldCharType="begin"/>
      </w:r>
      <w:r>
        <w:rPr>
          <w:szCs w:val="36"/>
        </w:rPr>
        <w:instrText xml:space="preserve"> HYPERLINK \l _Toc17182 </w:instrText>
      </w:r>
      <w:r>
        <w:rPr>
          <w:szCs w:val="36"/>
        </w:rPr>
        <w:fldChar w:fldCharType="separate"/>
      </w:r>
      <w:r>
        <w:rPr>
          <w:rFonts w:hint="eastAsia"/>
        </w:rPr>
        <w:t xml:space="preserve">附件4 </w:t>
      </w:r>
      <w:r>
        <w:t>商务条件响应及偏离表</w:t>
      </w:r>
      <w:r>
        <w:tab/>
      </w:r>
      <w:r>
        <w:fldChar w:fldCharType="begin"/>
      </w:r>
      <w:r>
        <w:instrText xml:space="preserve"> PAGEREF _Toc17182 \h </w:instrText>
      </w:r>
      <w:r>
        <w:fldChar w:fldCharType="separate"/>
      </w:r>
      <w:r>
        <w:t>39</w:t>
      </w:r>
      <w:r>
        <w:fldChar w:fldCharType="end"/>
      </w:r>
      <w:r>
        <w:rPr>
          <w:color w:val="auto"/>
          <w:szCs w:val="36"/>
        </w:rPr>
        <w:fldChar w:fldCharType="end"/>
      </w:r>
    </w:p>
    <w:p w14:paraId="5C2DCDCE">
      <w:pPr>
        <w:pStyle w:val="49"/>
        <w:tabs>
          <w:tab w:val="right" w:leader="dot" w:pos="9747"/>
          <w:tab w:val="clear" w:pos="9450"/>
        </w:tabs>
      </w:pPr>
      <w:r>
        <w:rPr>
          <w:color w:val="auto"/>
          <w:szCs w:val="36"/>
        </w:rPr>
        <w:fldChar w:fldCharType="begin"/>
      </w:r>
      <w:r>
        <w:rPr>
          <w:szCs w:val="36"/>
        </w:rPr>
        <w:instrText xml:space="preserve"> HYPERLINK \l _Toc15636 </w:instrText>
      </w:r>
      <w:r>
        <w:rPr>
          <w:szCs w:val="36"/>
        </w:rPr>
        <w:fldChar w:fldCharType="separate"/>
      </w:r>
      <w:r>
        <w:rPr>
          <w:rFonts w:hint="eastAsia"/>
          <w:bCs/>
          <w:szCs w:val="28"/>
        </w:rPr>
        <w:t>附件5 具备履行合同所必需的设备和专业技术能力的书面声明</w:t>
      </w:r>
      <w:r>
        <w:tab/>
      </w:r>
      <w:r>
        <w:fldChar w:fldCharType="begin"/>
      </w:r>
      <w:r>
        <w:instrText xml:space="preserve"> PAGEREF _Toc15636 \h </w:instrText>
      </w:r>
      <w:r>
        <w:fldChar w:fldCharType="separate"/>
      </w:r>
      <w:r>
        <w:t>40</w:t>
      </w:r>
      <w:r>
        <w:fldChar w:fldCharType="end"/>
      </w:r>
      <w:r>
        <w:rPr>
          <w:color w:val="auto"/>
          <w:szCs w:val="36"/>
        </w:rPr>
        <w:fldChar w:fldCharType="end"/>
      </w:r>
    </w:p>
    <w:p w14:paraId="5924FA80">
      <w:pPr>
        <w:pStyle w:val="49"/>
        <w:tabs>
          <w:tab w:val="right" w:leader="dot" w:pos="9747"/>
          <w:tab w:val="clear" w:pos="9450"/>
        </w:tabs>
      </w:pPr>
      <w:r>
        <w:rPr>
          <w:color w:val="auto"/>
          <w:szCs w:val="36"/>
        </w:rPr>
        <w:fldChar w:fldCharType="begin"/>
      </w:r>
      <w:r>
        <w:rPr>
          <w:szCs w:val="36"/>
        </w:rPr>
        <w:instrText xml:space="preserve"> HYPERLINK \l _Toc8463 </w:instrText>
      </w:r>
      <w:r>
        <w:rPr>
          <w:szCs w:val="36"/>
        </w:rPr>
        <w:fldChar w:fldCharType="separate"/>
      </w:r>
      <w:r>
        <w:rPr>
          <w:rFonts w:hint="eastAsia"/>
          <w:bCs/>
          <w:szCs w:val="28"/>
        </w:rPr>
        <w:t>附件6 参加政府采购活动前3年内在经营活动中没有重大违法记录的书面声明</w:t>
      </w:r>
      <w:r>
        <w:tab/>
      </w:r>
      <w:r>
        <w:fldChar w:fldCharType="begin"/>
      </w:r>
      <w:r>
        <w:instrText xml:space="preserve"> PAGEREF _Toc8463 \h </w:instrText>
      </w:r>
      <w:r>
        <w:fldChar w:fldCharType="separate"/>
      </w:r>
      <w:r>
        <w:t>41</w:t>
      </w:r>
      <w:r>
        <w:fldChar w:fldCharType="end"/>
      </w:r>
      <w:r>
        <w:rPr>
          <w:color w:val="auto"/>
          <w:szCs w:val="36"/>
        </w:rPr>
        <w:fldChar w:fldCharType="end"/>
      </w:r>
    </w:p>
    <w:p w14:paraId="5010E3D0">
      <w:pPr>
        <w:pStyle w:val="49"/>
        <w:tabs>
          <w:tab w:val="right" w:leader="dot" w:pos="9747"/>
          <w:tab w:val="clear" w:pos="9450"/>
        </w:tabs>
      </w:pPr>
      <w:r>
        <w:rPr>
          <w:color w:val="auto"/>
          <w:szCs w:val="36"/>
        </w:rPr>
        <w:fldChar w:fldCharType="begin"/>
      </w:r>
      <w:r>
        <w:rPr>
          <w:szCs w:val="36"/>
        </w:rPr>
        <w:instrText xml:space="preserve"> HYPERLINK \l _Toc30582 </w:instrText>
      </w:r>
      <w:r>
        <w:rPr>
          <w:szCs w:val="36"/>
        </w:rPr>
        <w:fldChar w:fldCharType="separate"/>
      </w:r>
      <w:r>
        <w:rPr>
          <w:rFonts w:hint="eastAsia"/>
        </w:rPr>
        <w:t>附件7 法定代表人授权书</w:t>
      </w:r>
      <w:r>
        <w:tab/>
      </w:r>
      <w:r>
        <w:fldChar w:fldCharType="begin"/>
      </w:r>
      <w:r>
        <w:instrText xml:space="preserve"> PAGEREF _Toc30582 \h </w:instrText>
      </w:r>
      <w:r>
        <w:fldChar w:fldCharType="separate"/>
      </w:r>
      <w:r>
        <w:t>42</w:t>
      </w:r>
      <w:r>
        <w:fldChar w:fldCharType="end"/>
      </w:r>
      <w:r>
        <w:rPr>
          <w:color w:val="auto"/>
          <w:szCs w:val="36"/>
        </w:rPr>
        <w:fldChar w:fldCharType="end"/>
      </w:r>
    </w:p>
    <w:p w14:paraId="5FCB21C3">
      <w:pPr>
        <w:pStyle w:val="49"/>
        <w:tabs>
          <w:tab w:val="right" w:leader="dot" w:pos="9747"/>
          <w:tab w:val="clear" w:pos="9450"/>
        </w:tabs>
      </w:pPr>
      <w:r>
        <w:rPr>
          <w:color w:val="auto"/>
          <w:szCs w:val="36"/>
        </w:rPr>
        <w:fldChar w:fldCharType="begin"/>
      </w:r>
      <w:r>
        <w:rPr>
          <w:szCs w:val="36"/>
        </w:rPr>
        <w:instrText xml:space="preserve"> HYPERLINK \l _Toc17769 </w:instrText>
      </w:r>
      <w:r>
        <w:rPr>
          <w:szCs w:val="36"/>
        </w:rPr>
        <w:fldChar w:fldCharType="separate"/>
      </w:r>
      <w:r>
        <w:rPr>
          <w:rFonts w:hint="eastAsia"/>
        </w:rPr>
        <w:t xml:space="preserve">附件8 </w:t>
      </w:r>
      <w:r>
        <w:t>磋商</w:t>
      </w:r>
      <w:r>
        <w:rPr>
          <w:rFonts w:hint="eastAsia"/>
        </w:rPr>
        <w:t>响应</w:t>
      </w:r>
      <w:r>
        <w:t>函</w:t>
      </w:r>
      <w:r>
        <w:tab/>
      </w:r>
      <w:r>
        <w:fldChar w:fldCharType="begin"/>
      </w:r>
      <w:r>
        <w:instrText xml:space="preserve"> PAGEREF _Toc17769 \h </w:instrText>
      </w:r>
      <w:r>
        <w:fldChar w:fldCharType="separate"/>
      </w:r>
      <w:r>
        <w:t>43</w:t>
      </w:r>
      <w:r>
        <w:fldChar w:fldCharType="end"/>
      </w:r>
      <w:r>
        <w:rPr>
          <w:color w:val="auto"/>
          <w:szCs w:val="36"/>
        </w:rPr>
        <w:fldChar w:fldCharType="end"/>
      </w:r>
    </w:p>
    <w:p w14:paraId="186B554A">
      <w:pPr>
        <w:pStyle w:val="49"/>
        <w:tabs>
          <w:tab w:val="right" w:leader="dot" w:pos="9747"/>
          <w:tab w:val="clear" w:pos="9450"/>
        </w:tabs>
      </w:pPr>
      <w:r>
        <w:rPr>
          <w:color w:val="auto"/>
          <w:szCs w:val="36"/>
        </w:rPr>
        <w:fldChar w:fldCharType="begin"/>
      </w:r>
      <w:r>
        <w:rPr>
          <w:szCs w:val="36"/>
        </w:rPr>
        <w:instrText xml:space="preserve"> HYPERLINK \l _Toc8074 </w:instrText>
      </w:r>
      <w:r>
        <w:rPr>
          <w:szCs w:val="36"/>
        </w:rPr>
        <w:fldChar w:fldCharType="separate"/>
      </w:r>
      <w:r>
        <w:rPr>
          <w:rFonts w:hint="eastAsia"/>
        </w:rPr>
        <w:t>附件</w:t>
      </w:r>
      <w:r>
        <w:t>9</w:t>
      </w:r>
      <w:r>
        <w:rPr>
          <w:rFonts w:hint="eastAsia"/>
        </w:rPr>
        <w:t xml:space="preserve"> </w:t>
      </w:r>
      <w:r>
        <w:t>中小企业声明函</w:t>
      </w:r>
      <w:r>
        <w:tab/>
      </w:r>
      <w:r>
        <w:fldChar w:fldCharType="begin"/>
      </w:r>
      <w:r>
        <w:instrText xml:space="preserve"> PAGEREF _Toc8074 \h </w:instrText>
      </w:r>
      <w:r>
        <w:fldChar w:fldCharType="separate"/>
      </w:r>
      <w:r>
        <w:t>44</w:t>
      </w:r>
      <w:r>
        <w:fldChar w:fldCharType="end"/>
      </w:r>
      <w:r>
        <w:rPr>
          <w:color w:val="auto"/>
          <w:szCs w:val="36"/>
        </w:rPr>
        <w:fldChar w:fldCharType="end"/>
      </w:r>
    </w:p>
    <w:p w14:paraId="685689A4">
      <w:pPr>
        <w:pStyle w:val="49"/>
        <w:tabs>
          <w:tab w:val="right" w:leader="dot" w:pos="9747"/>
          <w:tab w:val="clear" w:pos="9450"/>
        </w:tabs>
      </w:pPr>
      <w:r>
        <w:rPr>
          <w:color w:val="auto"/>
          <w:szCs w:val="36"/>
        </w:rPr>
        <w:fldChar w:fldCharType="begin"/>
      </w:r>
      <w:r>
        <w:rPr>
          <w:szCs w:val="36"/>
        </w:rPr>
        <w:instrText xml:space="preserve"> HYPERLINK \l _Toc24297 </w:instrText>
      </w:r>
      <w:r>
        <w:rPr>
          <w:szCs w:val="36"/>
        </w:rPr>
        <w:fldChar w:fldCharType="separate"/>
      </w:r>
      <w:r>
        <w:rPr>
          <w:rFonts w:hint="eastAsia"/>
        </w:rPr>
        <w:t>附件</w:t>
      </w:r>
      <w:r>
        <w:t>10</w:t>
      </w:r>
      <w:r>
        <w:rPr>
          <w:rFonts w:hint="eastAsia"/>
        </w:rPr>
        <w:t xml:space="preserve"> </w:t>
      </w:r>
      <w:r>
        <w:t>残疾人福利性单位声明函</w:t>
      </w:r>
      <w:r>
        <w:tab/>
      </w:r>
      <w:r>
        <w:fldChar w:fldCharType="begin"/>
      </w:r>
      <w:r>
        <w:instrText xml:space="preserve"> PAGEREF _Toc24297 \h </w:instrText>
      </w:r>
      <w:r>
        <w:fldChar w:fldCharType="separate"/>
      </w:r>
      <w:r>
        <w:t>45</w:t>
      </w:r>
      <w:r>
        <w:fldChar w:fldCharType="end"/>
      </w:r>
      <w:r>
        <w:rPr>
          <w:color w:val="auto"/>
          <w:szCs w:val="36"/>
        </w:rPr>
        <w:fldChar w:fldCharType="end"/>
      </w:r>
    </w:p>
    <w:p w14:paraId="0225097D">
      <w:pPr>
        <w:pStyle w:val="49"/>
        <w:tabs>
          <w:tab w:val="right" w:leader="dot" w:pos="9747"/>
          <w:tab w:val="clear" w:pos="9450"/>
        </w:tabs>
      </w:pPr>
      <w:r>
        <w:rPr>
          <w:color w:val="auto"/>
          <w:szCs w:val="36"/>
        </w:rPr>
        <w:fldChar w:fldCharType="begin"/>
      </w:r>
      <w:r>
        <w:rPr>
          <w:szCs w:val="36"/>
        </w:rPr>
        <w:instrText xml:space="preserve"> HYPERLINK \l _Toc10874 </w:instrText>
      </w:r>
      <w:r>
        <w:rPr>
          <w:szCs w:val="36"/>
        </w:rPr>
        <w:fldChar w:fldCharType="separate"/>
      </w:r>
      <w:r>
        <w:rPr>
          <w:rFonts w:hint="eastAsia"/>
        </w:rPr>
        <w:t>附件1</w:t>
      </w:r>
      <w:r>
        <w:t>1</w:t>
      </w:r>
      <w:r>
        <w:rPr>
          <w:rFonts w:hint="eastAsia"/>
        </w:rPr>
        <w:t xml:space="preserve"> 实质性要求响应及偏离表</w:t>
      </w:r>
      <w:r>
        <w:tab/>
      </w:r>
      <w:r>
        <w:fldChar w:fldCharType="begin"/>
      </w:r>
      <w:r>
        <w:instrText xml:space="preserve"> PAGEREF _Toc10874 \h </w:instrText>
      </w:r>
      <w:r>
        <w:fldChar w:fldCharType="separate"/>
      </w:r>
      <w:r>
        <w:t>46</w:t>
      </w:r>
      <w:r>
        <w:fldChar w:fldCharType="end"/>
      </w:r>
      <w:r>
        <w:rPr>
          <w:color w:val="auto"/>
          <w:szCs w:val="36"/>
        </w:rPr>
        <w:fldChar w:fldCharType="end"/>
      </w:r>
    </w:p>
    <w:p w14:paraId="1F9FB61C">
      <w:pPr>
        <w:pStyle w:val="49"/>
        <w:tabs>
          <w:tab w:val="right" w:leader="dot" w:pos="9747"/>
          <w:tab w:val="clear" w:pos="9450"/>
        </w:tabs>
      </w:pPr>
      <w:r>
        <w:rPr>
          <w:color w:val="auto"/>
          <w:szCs w:val="36"/>
        </w:rPr>
        <w:fldChar w:fldCharType="begin"/>
      </w:r>
      <w:r>
        <w:rPr>
          <w:szCs w:val="36"/>
        </w:rPr>
        <w:instrText xml:space="preserve"> HYPERLINK \l _Toc4583 </w:instrText>
      </w:r>
      <w:r>
        <w:rPr>
          <w:szCs w:val="36"/>
        </w:rPr>
        <w:fldChar w:fldCharType="separate"/>
      </w:r>
      <w:r>
        <w:rPr>
          <w:rFonts w:hint="eastAsia"/>
          <w:bCs/>
          <w:szCs w:val="28"/>
        </w:rPr>
        <w:t>附件12 人员配备表</w:t>
      </w:r>
      <w:r>
        <w:tab/>
      </w:r>
      <w:r>
        <w:fldChar w:fldCharType="begin"/>
      </w:r>
      <w:r>
        <w:instrText xml:space="preserve"> PAGEREF _Toc4583 \h </w:instrText>
      </w:r>
      <w:r>
        <w:fldChar w:fldCharType="separate"/>
      </w:r>
      <w:r>
        <w:t>46</w:t>
      </w:r>
      <w:r>
        <w:fldChar w:fldCharType="end"/>
      </w:r>
      <w:r>
        <w:rPr>
          <w:color w:val="auto"/>
          <w:szCs w:val="36"/>
        </w:rPr>
        <w:fldChar w:fldCharType="end"/>
      </w:r>
    </w:p>
    <w:p w14:paraId="40F99033">
      <w:pPr>
        <w:pStyle w:val="49"/>
        <w:tabs>
          <w:tab w:val="right" w:leader="dot" w:pos="9747"/>
          <w:tab w:val="clear" w:pos="9450"/>
        </w:tabs>
      </w:pPr>
      <w:r>
        <w:rPr>
          <w:color w:val="auto"/>
          <w:szCs w:val="36"/>
        </w:rPr>
        <w:fldChar w:fldCharType="begin"/>
      </w:r>
      <w:r>
        <w:rPr>
          <w:szCs w:val="36"/>
        </w:rPr>
        <w:instrText xml:space="preserve"> HYPERLINK \l _Toc1968 </w:instrText>
      </w:r>
      <w:r>
        <w:rPr>
          <w:szCs w:val="36"/>
        </w:rPr>
        <w:fldChar w:fldCharType="separate"/>
      </w:r>
      <w:r>
        <w:rPr>
          <w:rFonts w:hint="eastAsia"/>
          <w:bCs/>
          <w:szCs w:val="28"/>
        </w:rPr>
        <w:t>附件13 项目实施方案</w:t>
      </w:r>
      <w:r>
        <w:tab/>
      </w:r>
      <w:r>
        <w:fldChar w:fldCharType="begin"/>
      </w:r>
      <w:r>
        <w:instrText xml:space="preserve"> PAGEREF _Toc1968 \h </w:instrText>
      </w:r>
      <w:r>
        <w:fldChar w:fldCharType="separate"/>
      </w:r>
      <w:r>
        <w:t>48</w:t>
      </w:r>
      <w:r>
        <w:fldChar w:fldCharType="end"/>
      </w:r>
      <w:r>
        <w:rPr>
          <w:color w:val="auto"/>
          <w:szCs w:val="36"/>
        </w:rPr>
        <w:fldChar w:fldCharType="end"/>
      </w:r>
    </w:p>
    <w:p w14:paraId="2E32B8F6">
      <w:pPr>
        <w:pStyle w:val="49"/>
        <w:tabs>
          <w:tab w:val="right" w:leader="dot" w:pos="9747"/>
          <w:tab w:val="clear" w:pos="9450"/>
        </w:tabs>
      </w:pPr>
      <w:r>
        <w:rPr>
          <w:color w:val="auto"/>
          <w:szCs w:val="36"/>
        </w:rPr>
        <w:fldChar w:fldCharType="begin"/>
      </w:r>
      <w:r>
        <w:rPr>
          <w:szCs w:val="36"/>
        </w:rPr>
        <w:instrText xml:space="preserve"> HYPERLINK \l _Toc17108 </w:instrText>
      </w:r>
      <w:r>
        <w:rPr>
          <w:szCs w:val="36"/>
        </w:rPr>
        <w:fldChar w:fldCharType="separate"/>
      </w:r>
      <w:r>
        <w:rPr>
          <w:rFonts w:hint="eastAsia"/>
        </w:rPr>
        <w:t xml:space="preserve">附件14 </w:t>
      </w:r>
      <w:r>
        <w:t>业绩一览表</w:t>
      </w:r>
      <w:r>
        <w:tab/>
      </w:r>
      <w:r>
        <w:fldChar w:fldCharType="begin"/>
      </w:r>
      <w:r>
        <w:instrText xml:space="preserve"> PAGEREF _Toc17108 \h </w:instrText>
      </w:r>
      <w:r>
        <w:fldChar w:fldCharType="separate"/>
      </w:r>
      <w:r>
        <w:t>49</w:t>
      </w:r>
      <w:r>
        <w:fldChar w:fldCharType="end"/>
      </w:r>
      <w:r>
        <w:rPr>
          <w:color w:val="auto"/>
          <w:szCs w:val="36"/>
        </w:rPr>
        <w:fldChar w:fldCharType="end"/>
      </w:r>
    </w:p>
    <w:p w14:paraId="22A707FF">
      <w:pPr>
        <w:spacing w:line="360" w:lineRule="exact"/>
        <w:ind w:left="525" w:firstLine="600"/>
        <w:rPr>
          <w:color w:val="auto"/>
        </w:rPr>
      </w:pPr>
      <w:r>
        <w:rPr>
          <w:color w:val="auto"/>
          <w:szCs w:val="36"/>
        </w:rPr>
        <w:fldChar w:fldCharType="end"/>
      </w:r>
    </w:p>
    <w:p w14:paraId="7CEA84B2">
      <w:pPr>
        <w:pStyle w:val="4"/>
        <w:ind w:firstLine="904"/>
        <w:rPr>
          <w:rFonts w:ascii="Times New Roman" w:hAnsi="Times New Roman"/>
          <w:color w:val="auto"/>
        </w:rPr>
        <w:sectPr>
          <w:headerReference r:id="rId3" w:type="default"/>
          <w:footerReference r:id="rId4" w:type="default"/>
          <w:footerReference r:id="rId5" w:type="even"/>
          <w:pgSz w:w="11907" w:h="16840"/>
          <w:pgMar w:top="1440" w:right="1080" w:bottom="1440" w:left="1080" w:header="567" w:footer="794" w:gutter="0"/>
          <w:pgNumType w:start="0"/>
          <w:cols w:space="720" w:num="1"/>
          <w:titlePg/>
          <w:docGrid w:linePitch="360" w:charSpace="0"/>
        </w:sectPr>
      </w:pPr>
      <w:bookmarkStart w:id="1" w:name="_Toc315875312"/>
      <w:bookmarkStart w:id="2" w:name="_Toc315868049"/>
    </w:p>
    <w:p w14:paraId="4BF1904F">
      <w:pPr>
        <w:pStyle w:val="4"/>
        <w:rPr>
          <w:rFonts w:ascii="Times New Roman" w:hAnsi="Times New Roman"/>
          <w:color w:val="auto"/>
        </w:rPr>
      </w:pPr>
      <w:bookmarkStart w:id="3" w:name="_Toc219"/>
      <w:bookmarkStart w:id="4" w:name="_Toc16077"/>
      <w:bookmarkStart w:id="5" w:name="_Toc15165"/>
      <w:r>
        <w:rPr>
          <w:rFonts w:ascii="Times New Roman" w:hAnsi="Times New Roman"/>
          <w:color w:val="auto"/>
        </w:rPr>
        <w:t>第一章  磋商邀请</w:t>
      </w:r>
      <w:bookmarkEnd w:id="0"/>
      <w:bookmarkEnd w:id="1"/>
      <w:bookmarkEnd w:id="2"/>
      <w:bookmarkEnd w:id="3"/>
      <w:bookmarkEnd w:id="4"/>
      <w:bookmarkEnd w:id="5"/>
    </w:p>
    <w:p w14:paraId="0D39F30E">
      <w:pPr>
        <w:spacing w:line="440" w:lineRule="exact"/>
        <w:ind w:firstLine="480"/>
        <w:rPr>
          <w:color w:val="auto"/>
          <w:sz w:val="24"/>
          <w:szCs w:val="24"/>
        </w:rPr>
      </w:pPr>
      <w:r>
        <w:rPr>
          <w:rFonts w:hint="eastAsia"/>
          <w:color w:val="auto"/>
          <w:sz w:val="24"/>
          <w:szCs w:val="24"/>
        </w:rPr>
        <w:t>受常熟市财政局的委托，苏州新天平工程咨询有限公司就2026年度江苏省预算管理一体化系统常熟地区实施及运维服务（</w:t>
      </w:r>
      <w:r>
        <w:rPr>
          <w:rFonts w:hint="eastAsia"/>
          <w:color w:val="auto"/>
          <w:sz w:val="24"/>
          <w:szCs w:val="24"/>
          <w:lang w:eastAsia="zh-CN"/>
        </w:rPr>
        <w:t>JSZC-320581-XTPC-C2025-0040</w:t>
      </w:r>
      <w:r>
        <w:rPr>
          <w:rFonts w:hint="eastAsia"/>
          <w:color w:val="auto"/>
          <w:sz w:val="24"/>
          <w:szCs w:val="24"/>
        </w:rPr>
        <w:t>）项目进行竞争性磋商采购，欢迎符合条件的供应商投标。</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4"/>
      </w:tblGrid>
      <w:tr w14:paraId="00D0A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9774" w:type="dxa"/>
            <w:noWrap/>
          </w:tcPr>
          <w:p w14:paraId="032E1716">
            <w:pPr>
              <w:spacing w:line="410" w:lineRule="exact"/>
              <w:rPr>
                <w:b/>
                <w:bCs/>
                <w:color w:val="auto"/>
                <w:sz w:val="24"/>
                <w:szCs w:val="21"/>
              </w:rPr>
            </w:pPr>
            <w:r>
              <w:rPr>
                <w:b/>
                <w:bCs/>
                <w:color w:val="auto"/>
                <w:sz w:val="24"/>
                <w:szCs w:val="21"/>
              </w:rPr>
              <w:t>项目概况：</w:t>
            </w:r>
          </w:p>
          <w:p w14:paraId="1A3866E9">
            <w:pPr>
              <w:spacing w:line="410" w:lineRule="exact"/>
              <w:ind w:firstLine="600"/>
              <w:rPr>
                <w:color w:val="auto"/>
                <w:sz w:val="24"/>
                <w:szCs w:val="21"/>
              </w:rPr>
            </w:pPr>
            <w:r>
              <w:rPr>
                <w:rFonts w:hint="eastAsia"/>
                <w:color w:val="auto"/>
                <w:sz w:val="24"/>
                <w:szCs w:val="24"/>
                <w:u w:val="single"/>
              </w:rPr>
              <w:t>2026年度江苏省预算管理一体化系统常熟地区实施及运维服务</w:t>
            </w:r>
            <w:r>
              <w:rPr>
                <w:rFonts w:hint="eastAsia"/>
                <w:color w:val="auto"/>
                <w:sz w:val="24"/>
                <w:szCs w:val="24"/>
              </w:rPr>
              <w:t>采购</w:t>
            </w:r>
            <w:r>
              <w:rPr>
                <w:color w:val="auto"/>
                <w:sz w:val="24"/>
                <w:szCs w:val="24"/>
              </w:rPr>
              <w:t>项目的潜在</w:t>
            </w:r>
            <w:r>
              <w:rPr>
                <w:rFonts w:hint="eastAsia"/>
                <w:color w:val="auto"/>
                <w:sz w:val="24"/>
                <w:szCs w:val="24"/>
              </w:rPr>
              <w:t>供应商</w:t>
            </w:r>
            <w:r>
              <w:rPr>
                <w:color w:val="auto"/>
                <w:sz w:val="24"/>
                <w:szCs w:val="24"/>
              </w:rPr>
              <w:t>应</w:t>
            </w:r>
            <w:r>
              <w:rPr>
                <w:rFonts w:hint="eastAsia" w:cs="宋体"/>
                <w:color w:val="auto"/>
                <w:sz w:val="24"/>
                <w:szCs w:val="24"/>
              </w:rPr>
              <w:t>在“</w:t>
            </w:r>
            <w:r>
              <w:rPr>
                <w:color w:val="auto"/>
                <w:sz w:val="24"/>
                <w:szCs w:val="24"/>
              </w:rPr>
              <w:t>苏采云政府采购一体化平台</w:t>
            </w:r>
            <w:r>
              <w:rPr>
                <w:rFonts w:hint="eastAsia" w:cs="宋体"/>
                <w:color w:val="auto"/>
                <w:sz w:val="24"/>
                <w:szCs w:val="24"/>
              </w:rPr>
              <w:t>”</w:t>
            </w:r>
            <w:r>
              <w:rPr>
                <w:color w:val="auto"/>
                <w:sz w:val="24"/>
                <w:szCs w:val="24"/>
              </w:rPr>
              <w:t>中参与项目</w:t>
            </w:r>
            <w:r>
              <w:rPr>
                <w:rFonts w:hint="eastAsia"/>
                <w:color w:val="auto"/>
                <w:sz w:val="24"/>
                <w:szCs w:val="24"/>
              </w:rPr>
              <w:t>获取磋商文件</w:t>
            </w:r>
            <w:r>
              <w:rPr>
                <w:color w:val="auto"/>
                <w:sz w:val="24"/>
                <w:szCs w:val="24"/>
              </w:rPr>
              <w:t>，并于</w:t>
            </w:r>
            <w:r>
              <w:rPr>
                <w:color w:val="auto"/>
                <w:sz w:val="24"/>
                <w:szCs w:val="24"/>
                <w:u w:val="single"/>
              </w:rPr>
              <w:t>202</w:t>
            </w:r>
            <w:r>
              <w:rPr>
                <w:rFonts w:hint="eastAsia"/>
                <w:color w:val="auto"/>
                <w:sz w:val="24"/>
                <w:szCs w:val="24"/>
                <w:u w:val="single"/>
              </w:rPr>
              <w:t>6</w:t>
            </w:r>
            <w:r>
              <w:rPr>
                <w:color w:val="auto"/>
                <w:sz w:val="24"/>
                <w:szCs w:val="24"/>
                <w:u w:val="single"/>
              </w:rPr>
              <w:t>年</w:t>
            </w:r>
            <w:r>
              <w:rPr>
                <w:rFonts w:hint="eastAsia"/>
                <w:color w:val="auto"/>
                <w:sz w:val="24"/>
                <w:szCs w:val="24"/>
                <w:u w:val="single"/>
              </w:rPr>
              <w:t>1月7</w:t>
            </w:r>
            <w:r>
              <w:rPr>
                <w:color w:val="auto"/>
                <w:sz w:val="24"/>
                <w:szCs w:val="24"/>
                <w:u w:val="single"/>
              </w:rPr>
              <w:t>日</w:t>
            </w:r>
            <w:r>
              <w:rPr>
                <w:rFonts w:hint="eastAsia"/>
                <w:color w:val="auto"/>
                <w:sz w:val="24"/>
                <w:szCs w:val="24"/>
                <w:u w:val="single"/>
              </w:rPr>
              <w:t>13</w:t>
            </w:r>
            <w:r>
              <w:rPr>
                <w:color w:val="auto"/>
                <w:sz w:val="24"/>
                <w:szCs w:val="24"/>
                <w:u w:val="single"/>
              </w:rPr>
              <w:t>点</w:t>
            </w:r>
            <w:r>
              <w:rPr>
                <w:rFonts w:hint="eastAsia"/>
                <w:color w:val="auto"/>
                <w:sz w:val="24"/>
                <w:szCs w:val="24"/>
                <w:u w:val="single"/>
              </w:rPr>
              <w:t>00</w:t>
            </w:r>
            <w:r>
              <w:rPr>
                <w:color w:val="auto"/>
                <w:sz w:val="24"/>
                <w:szCs w:val="24"/>
                <w:u w:val="single"/>
              </w:rPr>
              <w:t>分</w:t>
            </w:r>
            <w:r>
              <w:rPr>
                <w:color w:val="auto"/>
                <w:sz w:val="24"/>
                <w:szCs w:val="24"/>
              </w:rPr>
              <w:t>（北京时间）前按规定提交</w:t>
            </w:r>
            <w:r>
              <w:rPr>
                <w:rFonts w:hint="eastAsia"/>
                <w:color w:val="auto"/>
                <w:sz w:val="24"/>
                <w:szCs w:val="24"/>
              </w:rPr>
              <w:t>响应</w:t>
            </w:r>
            <w:r>
              <w:rPr>
                <w:color w:val="auto"/>
                <w:sz w:val="24"/>
                <w:szCs w:val="24"/>
              </w:rPr>
              <w:t>文件。</w:t>
            </w:r>
          </w:p>
        </w:tc>
      </w:tr>
    </w:tbl>
    <w:p w14:paraId="600EEDF2">
      <w:pPr>
        <w:spacing w:line="440" w:lineRule="exact"/>
        <w:rPr>
          <w:b/>
          <w:color w:val="auto"/>
          <w:sz w:val="24"/>
          <w:szCs w:val="24"/>
        </w:rPr>
      </w:pPr>
      <w:r>
        <w:rPr>
          <w:b/>
          <w:color w:val="auto"/>
          <w:sz w:val="24"/>
          <w:szCs w:val="24"/>
        </w:rPr>
        <w:t>一、项目基本情况：</w:t>
      </w:r>
    </w:p>
    <w:p w14:paraId="37CB39E7">
      <w:pPr>
        <w:spacing w:line="440" w:lineRule="exact"/>
        <w:ind w:firstLine="480"/>
        <w:rPr>
          <w:rFonts w:hint="eastAsia" w:eastAsia="宋体"/>
          <w:color w:val="auto"/>
          <w:sz w:val="24"/>
          <w:szCs w:val="24"/>
          <w:lang w:eastAsia="zh-CN"/>
        </w:rPr>
      </w:pPr>
      <w:r>
        <w:rPr>
          <w:rFonts w:hint="eastAsia"/>
          <w:color w:val="auto"/>
          <w:sz w:val="24"/>
          <w:szCs w:val="24"/>
        </w:rPr>
        <w:t>1、项目编号：</w:t>
      </w:r>
      <w:r>
        <w:rPr>
          <w:rFonts w:hint="eastAsia"/>
          <w:color w:val="auto"/>
          <w:sz w:val="24"/>
          <w:szCs w:val="24"/>
          <w:lang w:eastAsia="zh-CN"/>
        </w:rPr>
        <w:t>JSZC-320581-XTPC-C2025-0040</w:t>
      </w:r>
    </w:p>
    <w:p w14:paraId="0A7921D2">
      <w:pPr>
        <w:spacing w:line="440" w:lineRule="exact"/>
        <w:ind w:firstLine="480"/>
        <w:rPr>
          <w:color w:val="auto"/>
          <w:sz w:val="24"/>
          <w:szCs w:val="24"/>
        </w:rPr>
      </w:pPr>
      <w:r>
        <w:rPr>
          <w:rFonts w:hint="eastAsia"/>
          <w:color w:val="auto"/>
          <w:sz w:val="24"/>
          <w:szCs w:val="24"/>
        </w:rPr>
        <w:t>2、项目名称：2026年度江苏省预算管理一体化系统常熟地区实施及运维服务</w:t>
      </w:r>
    </w:p>
    <w:p w14:paraId="64133307">
      <w:pPr>
        <w:spacing w:line="440" w:lineRule="exact"/>
        <w:ind w:firstLine="480"/>
        <w:rPr>
          <w:color w:val="auto"/>
          <w:sz w:val="24"/>
          <w:szCs w:val="24"/>
        </w:rPr>
      </w:pPr>
      <w:r>
        <w:rPr>
          <w:rFonts w:hint="eastAsia"/>
          <w:color w:val="auto"/>
          <w:sz w:val="24"/>
          <w:szCs w:val="24"/>
        </w:rPr>
        <w:t>3、采购方式：</w:t>
      </w:r>
      <w:r>
        <w:rPr>
          <w:color w:val="auto"/>
          <w:sz w:val="24"/>
          <w:szCs w:val="24"/>
        </w:rPr>
        <w:t>竞争性磋商</w:t>
      </w:r>
    </w:p>
    <w:p w14:paraId="4F998728">
      <w:pPr>
        <w:spacing w:line="440" w:lineRule="exact"/>
        <w:ind w:firstLine="480"/>
        <w:rPr>
          <w:color w:val="auto"/>
          <w:sz w:val="24"/>
          <w:szCs w:val="24"/>
        </w:rPr>
      </w:pPr>
      <w:r>
        <w:rPr>
          <w:rFonts w:hint="eastAsia"/>
          <w:color w:val="auto"/>
          <w:sz w:val="24"/>
          <w:szCs w:val="24"/>
        </w:rPr>
        <w:t>4、预算金额：</w:t>
      </w:r>
      <w:r>
        <w:rPr>
          <w:color w:val="auto"/>
          <w:sz w:val="24"/>
          <w:szCs w:val="24"/>
        </w:rPr>
        <w:t>人民币</w:t>
      </w:r>
      <w:r>
        <w:rPr>
          <w:rFonts w:hint="eastAsia"/>
          <w:bCs/>
          <w:color w:val="auto"/>
          <w:sz w:val="24"/>
        </w:rPr>
        <w:t>166万</w:t>
      </w:r>
      <w:r>
        <w:rPr>
          <w:color w:val="auto"/>
          <w:sz w:val="24"/>
          <w:szCs w:val="24"/>
        </w:rPr>
        <w:t>元整</w:t>
      </w:r>
      <w:r>
        <w:rPr>
          <w:rStyle w:val="71"/>
          <w:rFonts w:hint="eastAsia"/>
          <w:color w:val="auto"/>
        </w:rPr>
        <w:t>。</w:t>
      </w:r>
    </w:p>
    <w:p w14:paraId="4FE2EDC9">
      <w:pPr>
        <w:spacing w:line="440" w:lineRule="exact"/>
        <w:ind w:firstLine="480"/>
        <w:rPr>
          <w:color w:val="auto"/>
          <w:sz w:val="24"/>
          <w:szCs w:val="24"/>
        </w:rPr>
      </w:pPr>
      <w:r>
        <w:rPr>
          <w:rFonts w:hint="eastAsia"/>
          <w:color w:val="auto"/>
          <w:sz w:val="24"/>
          <w:szCs w:val="24"/>
        </w:rPr>
        <w:t>5、采购需求：常熟市财政局</w:t>
      </w:r>
      <w:r>
        <w:rPr>
          <w:color w:val="auto"/>
          <w:sz w:val="24"/>
          <w:szCs w:val="24"/>
        </w:rPr>
        <w:t>所需的</w:t>
      </w:r>
      <w:r>
        <w:rPr>
          <w:rFonts w:hint="eastAsia"/>
          <w:color w:val="auto"/>
          <w:sz w:val="24"/>
          <w:szCs w:val="24"/>
        </w:rPr>
        <w:t>2026年度江苏省预算管理一体化系统常熟地区实施及运维服务。</w:t>
      </w:r>
    </w:p>
    <w:p w14:paraId="4FC91335">
      <w:pPr>
        <w:widowControl/>
        <w:spacing w:line="440" w:lineRule="exact"/>
        <w:ind w:firstLine="480"/>
        <w:contextualSpacing/>
        <w:jc w:val="left"/>
        <w:rPr>
          <w:color w:val="auto"/>
          <w:sz w:val="24"/>
          <w:szCs w:val="24"/>
        </w:rPr>
      </w:pPr>
      <w:r>
        <w:rPr>
          <w:rFonts w:hint="eastAsia"/>
          <w:color w:val="auto"/>
          <w:sz w:val="24"/>
          <w:szCs w:val="24"/>
        </w:rPr>
        <w:t>6、合同履行期限：自合同签订之日起1年。</w:t>
      </w:r>
    </w:p>
    <w:p w14:paraId="6FF2B443">
      <w:pPr>
        <w:spacing w:line="440" w:lineRule="exact"/>
        <w:ind w:firstLine="480"/>
        <w:rPr>
          <w:color w:val="auto"/>
          <w:sz w:val="24"/>
          <w:szCs w:val="24"/>
        </w:rPr>
      </w:pPr>
      <w:r>
        <w:rPr>
          <w:rFonts w:hint="eastAsia"/>
          <w:color w:val="auto"/>
          <w:sz w:val="24"/>
          <w:szCs w:val="24"/>
        </w:rPr>
        <w:t>7、</w:t>
      </w:r>
      <w:r>
        <w:rPr>
          <w:color w:val="auto"/>
          <w:sz w:val="24"/>
          <w:szCs w:val="24"/>
        </w:rPr>
        <w:t>本项目</w:t>
      </w:r>
      <w:r>
        <w:rPr>
          <w:rFonts w:hint="eastAsia"/>
          <w:color w:val="auto"/>
          <w:sz w:val="24"/>
          <w:szCs w:val="24"/>
        </w:rPr>
        <w:t>不</w:t>
      </w:r>
      <w:r>
        <w:rPr>
          <w:color w:val="auto"/>
          <w:sz w:val="24"/>
          <w:szCs w:val="24"/>
        </w:rPr>
        <w:t>接受联合体</w:t>
      </w:r>
      <w:r>
        <w:rPr>
          <w:rFonts w:hint="eastAsia"/>
          <w:color w:val="auto"/>
          <w:sz w:val="24"/>
          <w:szCs w:val="24"/>
        </w:rPr>
        <w:t>。</w:t>
      </w:r>
    </w:p>
    <w:p w14:paraId="4CFA70A4">
      <w:pPr>
        <w:spacing w:line="440" w:lineRule="exact"/>
        <w:rPr>
          <w:b/>
          <w:color w:val="auto"/>
          <w:sz w:val="24"/>
          <w:szCs w:val="24"/>
        </w:rPr>
      </w:pPr>
      <w:r>
        <w:rPr>
          <w:b/>
          <w:color w:val="auto"/>
          <w:sz w:val="24"/>
          <w:szCs w:val="24"/>
        </w:rPr>
        <w:t>二、申请人的资格要求：</w:t>
      </w:r>
    </w:p>
    <w:p w14:paraId="3EC0189F">
      <w:pPr>
        <w:spacing w:line="440" w:lineRule="exact"/>
        <w:rPr>
          <w:color w:val="auto"/>
          <w:sz w:val="24"/>
          <w:szCs w:val="24"/>
        </w:rPr>
      </w:pPr>
      <w:r>
        <w:rPr>
          <w:rFonts w:hint="eastAsia"/>
          <w:color w:val="auto"/>
          <w:sz w:val="24"/>
          <w:szCs w:val="24"/>
        </w:rPr>
        <w:t>（一）满足《中华人民共和国政府采购法》第二十二条规定：</w:t>
      </w:r>
    </w:p>
    <w:p w14:paraId="6A7D6BD1">
      <w:pPr>
        <w:spacing w:line="440" w:lineRule="exact"/>
        <w:ind w:firstLine="480"/>
        <w:jc w:val="left"/>
        <w:rPr>
          <w:color w:val="auto"/>
          <w:sz w:val="24"/>
          <w:szCs w:val="24"/>
        </w:rPr>
      </w:pPr>
      <w:r>
        <w:rPr>
          <w:color w:val="auto"/>
          <w:sz w:val="24"/>
          <w:szCs w:val="24"/>
        </w:rPr>
        <w:t>1、</w:t>
      </w:r>
      <w:r>
        <w:rPr>
          <w:rFonts w:hint="eastAsia"/>
          <w:color w:val="auto"/>
          <w:sz w:val="24"/>
          <w:szCs w:val="24"/>
        </w:rPr>
        <w:t>具有独立承担民事责任的能力；</w:t>
      </w:r>
    </w:p>
    <w:p w14:paraId="689E2BE2">
      <w:pPr>
        <w:spacing w:line="440" w:lineRule="exact"/>
        <w:ind w:firstLine="480"/>
        <w:jc w:val="left"/>
        <w:rPr>
          <w:color w:val="auto"/>
          <w:sz w:val="24"/>
          <w:szCs w:val="24"/>
        </w:rPr>
      </w:pPr>
      <w:r>
        <w:rPr>
          <w:color w:val="auto"/>
          <w:sz w:val="24"/>
          <w:szCs w:val="24"/>
        </w:rPr>
        <w:t>2、具有良好的商业信誉和健全的财务会计制度；</w:t>
      </w:r>
    </w:p>
    <w:p w14:paraId="170659B7">
      <w:pPr>
        <w:spacing w:line="440" w:lineRule="exact"/>
        <w:ind w:firstLine="480"/>
        <w:jc w:val="left"/>
        <w:rPr>
          <w:color w:val="auto"/>
          <w:sz w:val="24"/>
          <w:szCs w:val="24"/>
        </w:rPr>
      </w:pPr>
      <w:r>
        <w:rPr>
          <w:rFonts w:hint="eastAsia"/>
          <w:color w:val="auto"/>
          <w:sz w:val="24"/>
          <w:szCs w:val="24"/>
        </w:rPr>
        <w:t>3</w:t>
      </w:r>
      <w:r>
        <w:rPr>
          <w:color w:val="auto"/>
          <w:sz w:val="24"/>
          <w:szCs w:val="24"/>
        </w:rPr>
        <w:t>、有依法缴纳税收和社会保障资金的良好记录；</w:t>
      </w:r>
    </w:p>
    <w:p w14:paraId="69AC886F">
      <w:pPr>
        <w:spacing w:line="440" w:lineRule="exact"/>
        <w:ind w:firstLine="480"/>
        <w:jc w:val="left"/>
        <w:rPr>
          <w:color w:val="auto"/>
          <w:sz w:val="24"/>
          <w:szCs w:val="24"/>
        </w:rPr>
      </w:pPr>
      <w:r>
        <w:rPr>
          <w:color w:val="auto"/>
          <w:sz w:val="24"/>
          <w:szCs w:val="24"/>
        </w:rPr>
        <w:t>4、具有履行合同所必需的设备和专业技术能力；</w:t>
      </w:r>
    </w:p>
    <w:p w14:paraId="1AFB0B0E">
      <w:pPr>
        <w:spacing w:line="440" w:lineRule="exact"/>
        <w:ind w:firstLine="480"/>
        <w:jc w:val="left"/>
        <w:rPr>
          <w:color w:val="auto"/>
          <w:sz w:val="24"/>
          <w:szCs w:val="24"/>
        </w:rPr>
      </w:pPr>
      <w:r>
        <w:rPr>
          <w:color w:val="auto"/>
          <w:sz w:val="24"/>
          <w:szCs w:val="24"/>
        </w:rPr>
        <w:t>5、参加采购活动前三年内，在经营活动中没有重大违法记录</w:t>
      </w:r>
      <w:r>
        <w:rPr>
          <w:rFonts w:hint="eastAsia"/>
          <w:color w:val="auto"/>
          <w:sz w:val="24"/>
          <w:szCs w:val="24"/>
        </w:rPr>
        <w:t>。</w:t>
      </w:r>
    </w:p>
    <w:p w14:paraId="2BE3CDD0">
      <w:pPr>
        <w:spacing w:line="440" w:lineRule="exact"/>
        <w:rPr>
          <w:color w:val="auto"/>
          <w:sz w:val="24"/>
          <w:szCs w:val="24"/>
        </w:rPr>
      </w:pPr>
      <w:r>
        <w:rPr>
          <w:rFonts w:hint="eastAsia"/>
          <w:color w:val="auto"/>
          <w:sz w:val="24"/>
          <w:szCs w:val="24"/>
        </w:rPr>
        <w:t>（二）落实政府采购政策需满足的资格要求：无。</w:t>
      </w:r>
    </w:p>
    <w:p w14:paraId="5D5B611A">
      <w:pPr>
        <w:spacing w:line="440" w:lineRule="exact"/>
        <w:rPr>
          <w:color w:val="auto"/>
          <w:sz w:val="24"/>
          <w:szCs w:val="24"/>
        </w:rPr>
      </w:pPr>
      <w:r>
        <w:rPr>
          <w:rFonts w:hint="eastAsia"/>
          <w:color w:val="auto"/>
          <w:sz w:val="24"/>
          <w:szCs w:val="24"/>
        </w:rPr>
        <w:t>（三）</w:t>
      </w:r>
      <w:r>
        <w:rPr>
          <w:color w:val="auto"/>
          <w:sz w:val="24"/>
          <w:szCs w:val="24"/>
        </w:rPr>
        <w:t>本项目的特定资格要求：</w:t>
      </w:r>
      <w:r>
        <w:rPr>
          <w:rFonts w:hint="eastAsia"/>
          <w:color w:val="auto"/>
          <w:sz w:val="24"/>
          <w:szCs w:val="24"/>
        </w:rPr>
        <w:t>无。</w:t>
      </w:r>
    </w:p>
    <w:p w14:paraId="15A919A9">
      <w:pPr>
        <w:spacing w:line="440" w:lineRule="exact"/>
        <w:rPr>
          <w:color w:val="auto"/>
          <w:sz w:val="24"/>
          <w:szCs w:val="24"/>
        </w:rPr>
      </w:pPr>
      <w:r>
        <w:rPr>
          <w:rFonts w:hint="eastAsia"/>
          <w:color w:val="auto"/>
          <w:sz w:val="24"/>
          <w:szCs w:val="24"/>
        </w:rPr>
        <w:t>（四）其他要求：</w:t>
      </w:r>
    </w:p>
    <w:p w14:paraId="134A1B80">
      <w:pPr>
        <w:spacing w:line="460" w:lineRule="exact"/>
        <w:ind w:firstLine="480" w:firstLineChars="200"/>
        <w:rPr>
          <w:color w:val="auto"/>
          <w:sz w:val="24"/>
          <w:szCs w:val="24"/>
        </w:rPr>
      </w:pPr>
      <w:r>
        <w:rPr>
          <w:rFonts w:hint="eastAsia"/>
          <w:color w:val="auto"/>
          <w:sz w:val="24"/>
          <w:szCs w:val="24"/>
        </w:rPr>
        <w:t>1、</w:t>
      </w:r>
      <w:r>
        <w:rPr>
          <w:color w:val="auto"/>
          <w:sz w:val="24"/>
          <w:szCs w:val="24"/>
        </w:rPr>
        <w:t>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p>
    <w:p w14:paraId="1D0DAC55">
      <w:pPr>
        <w:spacing w:line="440" w:lineRule="exact"/>
        <w:ind w:firstLine="480" w:firstLineChars="200"/>
        <w:rPr>
          <w:color w:val="auto"/>
          <w:sz w:val="24"/>
          <w:szCs w:val="24"/>
        </w:rPr>
      </w:pPr>
      <w:r>
        <w:rPr>
          <w:rFonts w:hint="eastAsia"/>
          <w:color w:val="auto"/>
          <w:sz w:val="24"/>
          <w:szCs w:val="24"/>
        </w:rPr>
        <w:t>2、</w:t>
      </w:r>
      <w:r>
        <w:rPr>
          <w:color w:val="auto"/>
          <w:sz w:val="24"/>
          <w:szCs w:val="24"/>
        </w:rPr>
        <w:t>单位负责人为同一人或者存在直接控股、管理关系的不同供应商，不得参加同一合同项下的政府采购活动。</w:t>
      </w:r>
    </w:p>
    <w:p w14:paraId="30990083">
      <w:pPr>
        <w:spacing w:line="440" w:lineRule="exact"/>
        <w:rPr>
          <w:b/>
          <w:color w:val="auto"/>
          <w:sz w:val="24"/>
          <w:szCs w:val="24"/>
        </w:rPr>
      </w:pPr>
      <w:r>
        <w:rPr>
          <w:b/>
          <w:color w:val="auto"/>
          <w:sz w:val="24"/>
          <w:szCs w:val="24"/>
        </w:rPr>
        <w:t>三、获取采购文件：</w:t>
      </w:r>
    </w:p>
    <w:p w14:paraId="78B56DF0">
      <w:pPr>
        <w:spacing w:line="440" w:lineRule="exact"/>
        <w:ind w:firstLine="480"/>
        <w:rPr>
          <w:color w:val="auto"/>
          <w:sz w:val="24"/>
          <w:szCs w:val="24"/>
        </w:rPr>
      </w:pPr>
      <w:r>
        <w:rPr>
          <w:rFonts w:hint="eastAsia"/>
          <w:color w:val="auto"/>
          <w:sz w:val="24"/>
          <w:szCs w:val="24"/>
        </w:rPr>
        <w:t xml:space="preserve">1、时间：自磋商文件公告发布之日起5个工作日 </w:t>
      </w:r>
    </w:p>
    <w:p w14:paraId="634793E9">
      <w:pPr>
        <w:spacing w:line="440" w:lineRule="exact"/>
        <w:ind w:firstLine="480"/>
        <w:rPr>
          <w:color w:val="auto"/>
          <w:sz w:val="24"/>
          <w:szCs w:val="24"/>
        </w:rPr>
      </w:pPr>
      <w:r>
        <w:rPr>
          <w:rFonts w:hint="eastAsia"/>
          <w:color w:val="auto"/>
          <w:sz w:val="24"/>
          <w:szCs w:val="24"/>
        </w:rPr>
        <w:t>2、地点：“苏采云政府采购一体化平台”。</w:t>
      </w:r>
    </w:p>
    <w:p w14:paraId="4C023812">
      <w:pPr>
        <w:spacing w:line="440" w:lineRule="exact"/>
        <w:ind w:firstLine="480"/>
        <w:rPr>
          <w:color w:val="auto"/>
          <w:sz w:val="24"/>
          <w:szCs w:val="24"/>
        </w:rPr>
      </w:pPr>
      <w:r>
        <w:rPr>
          <w:rFonts w:hint="eastAsia"/>
          <w:color w:val="auto"/>
          <w:sz w:val="24"/>
          <w:szCs w:val="24"/>
        </w:rPr>
        <w:t>3、方式：在“苏采云政府采购一体化平台”自行免费下载磋商文件。</w:t>
      </w:r>
    </w:p>
    <w:p w14:paraId="0C2DEFFF">
      <w:pPr>
        <w:spacing w:line="440" w:lineRule="exact"/>
        <w:ind w:firstLine="480"/>
        <w:rPr>
          <w:color w:val="auto"/>
          <w:sz w:val="24"/>
          <w:szCs w:val="24"/>
        </w:rPr>
      </w:pPr>
      <w:r>
        <w:rPr>
          <w:rFonts w:hint="eastAsia"/>
          <w:color w:val="auto"/>
          <w:sz w:val="24"/>
          <w:szCs w:val="24"/>
        </w:rPr>
        <w:t>（1）参与采购活动：供应商进入苏州市政府采购网，点击网站首页底部苏采云图标，插入CA证书登陆“苏采云”系统后选择具体项目，点击“我要参与”并签章提交《投标供应商确认函》，提交《投标供应商确认函》日期视同为依法获取磋商文件日期。对《投标供应商确认函》供应商应予打印保留。</w:t>
      </w:r>
    </w:p>
    <w:p w14:paraId="595CBADD">
      <w:pPr>
        <w:spacing w:line="440" w:lineRule="exact"/>
        <w:ind w:firstLine="480"/>
        <w:rPr>
          <w:color w:val="auto"/>
          <w:sz w:val="24"/>
          <w:szCs w:val="24"/>
        </w:rPr>
      </w:pPr>
      <w:r>
        <w:rPr>
          <w:rFonts w:hint="eastAsia"/>
          <w:color w:val="auto"/>
          <w:sz w:val="24"/>
          <w:szCs w:val="24"/>
        </w:rPr>
        <w:t>（2）电子投标准备：供应商在“苏采云”系统中操作成功参与项目后，必须在“已参与项目”界面中下载电子磋商文件（后缀名为“.kedt”）并导入政府采购客户端工具后方可进行电子响应文件的制作和提交（具体详见《苏采云系统供应商操作手册》，网址链接https://czju.suzhou.gov.cn/zfcg/html/content/20231220161910031.shtml）。</w:t>
      </w:r>
    </w:p>
    <w:p w14:paraId="55799716">
      <w:pPr>
        <w:spacing w:line="440" w:lineRule="exact"/>
        <w:ind w:firstLine="480"/>
        <w:rPr>
          <w:color w:val="auto"/>
          <w:sz w:val="24"/>
          <w:szCs w:val="24"/>
        </w:rPr>
      </w:pPr>
      <w:r>
        <w:rPr>
          <w:rFonts w:hint="eastAsia"/>
          <w:color w:val="auto"/>
          <w:sz w:val="24"/>
          <w:szCs w:val="24"/>
        </w:rPr>
        <w:t>4、售价：免费。</w:t>
      </w:r>
    </w:p>
    <w:p w14:paraId="34A608ED">
      <w:pPr>
        <w:spacing w:line="440" w:lineRule="exact"/>
        <w:rPr>
          <w:b/>
          <w:color w:val="auto"/>
          <w:sz w:val="24"/>
          <w:szCs w:val="24"/>
        </w:rPr>
      </w:pPr>
      <w:r>
        <w:rPr>
          <w:b/>
          <w:color w:val="auto"/>
          <w:sz w:val="24"/>
          <w:szCs w:val="24"/>
        </w:rPr>
        <w:t>四、响应文件提交：</w:t>
      </w:r>
    </w:p>
    <w:p w14:paraId="60B12F15">
      <w:pPr>
        <w:spacing w:line="440" w:lineRule="exact"/>
        <w:ind w:firstLine="480"/>
        <w:rPr>
          <w:color w:val="auto"/>
          <w:sz w:val="24"/>
          <w:szCs w:val="24"/>
        </w:rPr>
      </w:pPr>
      <w:r>
        <w:rPr>
          <w:rFonts w:hint="eastAsia"/>
          <w:color w:val="auto"/>
          <w:sz w:val="24"/>
          <w:szCs w:val="24"/>
        </w:rPr>
        <w:t>1、截止时间：2026年1月7日13点00分（北京时间）</w:t>
      </w:r>
    </w:p>
    <w:p w14:paraId="0868214F">
      <w:pPr>
        <w:spacing w:line="440" w:lineRule="exact"/>
        <w:ind w:firstLine="480"/>
        <w:rPr>
          <w:color w:val="auto"/>
          <w:sz w:val="24"/>
          <w:szCs w:val="24"/>
        </w:rPr>
      </w:pPr>
      <w:r>
        <w:rPr>
          <w:rFonts w:hint="eastAsia"/>
          <w:color w:val="auto"/>
          <w:sz w:val="24"/>
          <w:szCs w:val="24"/>
        </w:rPr>
        <w:t xml:space="preserve">2、地点：苏采云系统网上开标大厅 </w:t>
      </w:r>
    </w:p>
    <w:p w14:paraId="1DD27DA9">
      <w:pPr>
        <w:spacing w:line="440" w:lineRule="exact"/>
        <w:ind w:firstLine="480"/>
        <w:rPr>
          <w:color w:val="auto"/>
          <w:sz w:val="24"/>
          <w:szCs w:val="24"/>
        </w:rPr>
      </w:pPr>
      <w:r>
        <w:rPr>
          <w:rFonts w:hint="eastAsia"/>
          <w:color w:val="auto"/>
          <w:sz w:val="24"/>
          <w:szCs w:val="24"/>
        </w:rPr>
        <w:t>3、本项目采用电子化采购形式，供应商应当按照《苏采云系统供应商操作手册》规定，须在截止时间前制作并上传电子响应文件至“苏采云”系统，否则视为放弃参加该采购项目。</w:t>
      </w:r>
    </w:p>
    <w:p w14:paraId="2F2B8B72">
      <w:pPr>
        <w:spacing w:line="440" w:lineRule="exact"/>
        <w:ind w:firstLine="480"/>
        <w:rPr>
          <w:color w:val="auto"/>
          <w:sz w:val="24"/>
          <w:szCs w:val="24"/>
        </w:rPr>
      </w:pPr>
      <w:r>
        <w:rPr>
          <w:rFonts w:hint="eastAsia"/>
          <w:color w:val="auto"/>
          <w:sz w:val="24"/>
          <w:szCs w:val="24"/>
        </w:rPr>
        <w:t>4、本项目采用不见面开标，供应商登录“苏采云”系统在平台首页点击“开标大厅”，进入江苏省政府采购一体化不见面开标（采购）大厅，选择对应项目，并按系统提示完成开标流程。</w:t>
      </w:r>
    </w:p>
    <w:p w14:paraId="34916018">
      <w:pPr>
        <w:spacing w:line="440" w:lineRule="exact"/>
        <w:rPr>
          <w:b/>
          <w:color w:val="auto"/>
          <w:sz w:val="24"/>
          <w:szCs w:val="24"/>
        </w:rPr>
      </w:pPr>
      <w:r>
        <w:rPr>
          <w:b/>
          <w:color w:val="auto"/>
          <w:sz w:val="24"/>
          <w:szCs w:val="24"/>
        </w:rPr>
        <w:t>五、开启：</w:t>
      </w:r>
    </w:p>
    <w:p w14:paraId="48203DBA">
      <w:pPr>
        <w:spacing w:line="440" w:lineRule="exact"/>
        <w:ind w:firstLine="480"/>
        <w:rPr>
          <w:color w:val="auto"/>
          <w:sz w:val="24"/>
          <w:szCs w:val="24"/>
        </w:rPr>
      </w:pPr>
      <w:r>
        <w:rPr>
          <w:color w:val="auto"/>
          <w:sz w:val="24"/>
          <w:szCs w:val="24"/>
        </w:rPr>
        <w:t>时间：202</w:t>
      </w:r>
      <w:r>
        <w:rPr>
          <w:rFonts w:hint="eastAsia"/>
          <w:color w:val="auto"/>
          <w:sz w:val="24"/>
          <w:szCs w:val="24"/>
        </w:rPr>
        <w:t>6</w:t>
      </w:r>
      <w:r>
        <w:rPr>
          <w:color w:val="auto"/>
          <w:sz w:val="24"/>
          <w:szCs w:val="24"/>
        </w:rPr>
        <w:t>年</w:t>
      </w:r>
      <w:r>
        <w:rPr>
          <w:rFonts w:hint="eastAsia"/>
          <w:color w:val="auto"/>
          <w:sz w:val="24"/>
          <w:szCs w:val="24"/>
        </w:rPr>
        <w:t>1</w:t>
      </w:r>
      <w:r>
        <w:rPr>
          <w:color w:val="auto"/>
          <w:sz w:val="24"/>
          <w:szCs w:val="24"/>
        </w:rPr>
        <w:t>月</w:t>
      </w:r>
      <w:r>
        <w:rPr>
          <w:rFonts w:hint="eastAsia"/>
          <w:color w:val="auto"/>
          <w:sz w:val="24"/>
          <w:szCs w:val="24"/>
        </w:rPr>
        <w:t>7</w:t>
      </w:r>
      <w:r>
        <w:rPr>
          <w:color w:val="auto"/>
          <w:sz w:val="24"/>
          <w:szCs w:val="24"/>
        </w:rPr>
        <w:t>日</w:t>
      </w:r>
      <w:r>
        <w:rPr>
          <w:rFonts w:hint="eastAsia"/>
          <w:color w:val="auto"/>
          <w:sz w:val="24"/>
          <w:szCs w:val="24"/>
        </w:rPr>
        <w:t>13</w:t>
      </w:r>
      <w:r>
        <w:rPr>
          <w:color w:val="auto"/>
          <w:sz w:val="24"/>
          <w:szCs w:val="24"/>
        </w:rPr>
        <w:t>点</w:t>
      </w:r>
      <w:r>
        <w:rPr>
          <w:rFonts w:hint="eastAsia"/>
          <w:color w:val="auto"/>
          <w:sz w:val="24"/>
          <w:szCs w:val="24"/>
        </w:rPr>
        <w:t>00</w:t>
      </w:r>
      <w:r>
        <w:rPr>
          <w:color w:val="auto"/>
          <w:sz w:val="24"/>
          <w:szCs w:val="24"/>
        </w:rPr>
        <w:t>分（北京时间）</w:t>
      </w:r>
    </w:p>
    <w:p w14:paraId="17ECED94">
      <w:pPr>
        <w:spacing w:line="440" w:lineRule="exact"/>
        <w:ind w:firstLine="480"/>
        <w:rPr>
          <w:color w:val="auto"/>
          <w:sz w:val="24"/>
          <w:szCs w:val="24"/>
        </w:rPr>
      </w:pPr>
      <w:r>
        <w:rPr>
          <w:color w:val="auto"/>
          <w:sz w:val="24"/>
          <w:szCs w:val="24"/>
        </w:rPr>
        <w:t>地点</w:t>
      </w:r>
      <w:r>
        <w:rPr>
          <w:rFonts w:hint="eastAsia"/>
          <w:color w:val="auto"/>
          <w:sz w:val="24"/>
          <w:szCs w:val="24"/>
        </w:rPr>
        <w:t>：苏采云系统网上开标大厅</w:t>
      </w:r>
    </w:p>
    <w:p w14:paraId="7762F48B">
      <w:pPr>
        <w:spacing w:line="440" w:lineRule="exact"/>
        <w:rPr>
          <w:b/>
          <w:color w:val="auto"/>
          <w:sz w:val="24"/>
          <w:szCs w:val="24"/>
        </w:rPr>
      </w:pPr>
      <w:r>
        <w:rPr>
          <w:b/>
          <w:color w:val="auto"/>
          <w:sz w:val="24"/>
          <w:szCs w:val="24"/>
        </w:rPr>
        <w:t>六、公告期限：</w:t>
      </w:r>
    </w:p>
    <w:p w14:paraId="2A4C7807">
      <w:pPr>
        <w:spacing w:line="440" w:lineRule="exact"/>
        <w:ind w:firstLine="480"/>
        <w:rPr>
          <w:color w:val="auto"/>
          <w:sz w:val="24"/>
          <w:szCs w:val="24"/>
        </w:rPr>
      </w:pPr>
      <w:r>
        <w:rPr>
          <w:color w:val="auto"/>
          <w:sz w:val="24"/>
          <w:szCs w:val="24"/>
        </w:rPr>
        <w:t>自本公告发布之日起3个工作日。</w:t>
      </w:r>
    </w:p>
    <w:p w14:paraId="52A55E03">
      <w:pPr>
        <w:spacing w:line="440" w:lineRule="exact"/>
        <w:rPr>
          <w:b/>
          <w:color w:val="auto"/>
          <w:sz w:val="24"/>
          <w:szCs w:val="24"/>
        </w:rPr>
      </w:pPr>
      <w:r>
        <w:rPr>
          <w:b/>
          <w:color w:val="auto"/>
          <w:sz w:val="24"/>
          <w:szCs w:val="24"/>
        </w:rPr>
        <w:t>七、其他补充事宜：</w:t>
      </w:r>
    </w:p>
    <w:p w14:paraId="2D147F25">
      <w:pPr>
        <w:spacing w:line="440" w:lineRule="exact"/>
        <w:ind w:firstLine="480"/>
        <w:rPr>
          <w:color w:val="auto"/>
          <w:sz w:val="24"/>
          <w:szCs w:val="24"/>
        </w:rPr>
      </w:pPr>
      <w:r>
        <w:rPr>
          <w:rFonts w:hint="eastAsia"/>
          <w:color w:val="auto"/>
          <w:sz w:val="24"/>
          <w:szCs w:val="24"/>
        </w:rPr>
        <w:t>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065E710E">
      <w:pPr>
        <w:spacing w:line="440" w:lineRule="exact"/>
        <w:ind w:firstLine="480"/>
        <w:rPr>
          <w:color w:val="auto"/>
          <w:sz w:val="24"/>
          <w:szCs w:val="24"/>
        </w:rPr>
      </w:pPr>
      <w:r>
        <w:rPr>
          <w:rFonts w:hint="eastAsia"/>
          <w:color w:val="auto"/>
          <w:sz w:val="24"/>
          <w:szCs w:val="24"/>
        </w:rPr>
        <w:t>2、供应商在“苏采云”系统操作过程中如有疑问，请按以下方式联系：</w:t>
      </w:r>
    </w:p>
    <w:p w14:paraId="7023EBEB">
      <w:pPr>
        <w:spacing w:line="440" w:lineRule="exact"/>
        <w:ind w:firstLine="480"/>
        <w:rPr>
          <w:color w:val="auto"/>
          <w:sz w:val="24"/>
          <w:szCs w:val="24"/>
        </w:rPr>
      </w:pPr>
      <w:r>
        <w:rPr>
          <w:color w:val="auto"/>
          <w:sz w:val="24"/>
          <w:szCs w:val="24"/>
        </w:rPr>
        <w:t>CA技术咨询电话：400-608-6099；电子签章技术咨询电话：15380932027、15371015030、13675197356、13675197221；系统使用指导与咨询电话：18261002950、0512-69820854、0519-86722802。</w:t>
      </w:r>
    </w:p>
    <w:p w14:paraId="2D1E7B4D">
      <w:pPr>
        <w:spacing w:line="440" w:lineRule="exact"/>
        <w:ind w:firstLine="480"/>
        <w:rPr>
          <w:color w:val="auto"/>
          <w:sz w:val="24"/>
          <w:szCs w:val="24"/>
        </w:rPr>
      </w:pPr>
      <w:r>
        <w:rPr>
          <w:rFonts w:hint="eastAsia"/>
          <w:color w:val="auto"/>
          <w:sz w:val="24"/>
          <w:szCs w:val="24"/>
        </w:rPr>
        <w:t>3、有关本次采购的事项若存在变动或修改，</w:t>
      </w:r>
      <w:bookmarkStart w:id="6" w:name="_Hlk87882297"/>
      <w:r>
        <w:rPr>
          <w:rFonts w:hint="eastAsia"/>
          <w:color w:val="auto"/>
          <w:sz w:val="24"/>
          <w:szCs w:val="24"/>
        </w:rPr>
        <w:t>敬请及时关注</w:t>
      </w:r>
      <w:r>
        <w:rPr>
          <w:rFonts w:cs="宋体"/>
          <w:color w:val="auto"/>
          <w:sz w:val="24"/>
          <w:szCs w:val="24"/>
        </w:rPr>
        <w:t>政府采购信息发布媒体上发布的更正（补充）公告</w:t>
      </w:r>
      <w:r>
        <w:rPr>
          <w:rFonts w:hint="eastAsia"/>
          <w:color w:val="auto"/>
          <w:sz w:val="24"/>
          <w:szCs w:val="24"/>
        </w:rPr>
        <w:t>，并按规定获取相关信息内容。</w:t>
      </w:r>
      <w:bookmarkEnd w:id="6"/>
    </w:p>
    <w:p w14:paraId="056D063A">
      <w:pPr>
        <w:spacing w:line="440" w:lineRule="exact"/>
        <w:ind w:firstLine="480"/>
        <w:rPr>
          <w:color w:val="auto"/>
          <w:sz w:val="24"/>
          <w:szCs w:val="24"/>
        </w:rPr>
      </w:pPr>
      <w:r>
        <w:rPr>
          <w:rFonts w:hint="eastAsia"/>
          <w:color w:val="auto"/>
          <w:sz w:val="24"/>
          <w:szCs w:val="24"/>
        </w:rPr>
        <w:t>4、</w:t>
      </w:r>
      <w:r>
        <w:rPr>
          <w:color w:val="auto"/>
          <w:sz w:val="24"/>
          <w:szCs w:val="24"/>
        </w:rPr>
        <w:t>本次采购项目有关时间要求均以北京时间为标准，使用24小时制</w:t>
      </w:r>
      <w:r>
        <w:rPr>
          <w:rFonts w:hint="eastAsia"/>
          <w:color w:val="auto"/>
          <w:sz w:val="24"/>
          <w:szCs w:val="24"/>
        </w:rPr>
        <w:t>。</w:t>
      </w:r>
    </w:p>
    <w:p w14:paraId="42949CF6">
      <w:pPr>
        <w:spacing w:line="440" w:lineRule="exact"/>
        <w:ind w:firstLine="480"/>
        <w:rPr>
          <w:color w:val="auto"/>
          <w:sz w:val="24"/>
          <w:szCs w:val="24"/>
        </w:rPr>
      </w:pPr>
      <w:r>
        <w:rPr>
          <w:rFonts w:hint="eastAsia"/>
          <w:color w:val="auto"/>
          <w:sz w:val="24"/>
          <w:szCs w:val="24"/>
        </w:rPr>
        <w:t>5</w:t>
      </w:r>
      <w:r>
        <w:rPr>
          <w:color w:val="auto"/>
          <w:sz w:val="24"/>
          <w:szCs w:val="24"/>
        </w:rPr>
        <w:t>、公告媒体：苏州市政府采购网</w:t>
      </w:r>
      <w:r>
        <w:rPr>
          <w:rFonts w:hint="eastAsia"/>
          <w:color w:val="auto"/>
          <w:sz w:val="24"/>
          <w:szCs w:val="24"/>
        </w:rPr>
        <w:t>、江苏政府采购网</w:t>
      </w:r>
      <w:r>
        <w:rPr>
          <w:color w:val="auto"/>
          <w:sz w:val="24"/>
          <w:szCs w:val="24"/>
        </w:rPr>
        <w:t>。</w:t>
      </w:r>
    </w:p>
    <w:p w14:paraId="5A56648E">
      <w:pPr>
        <w:numPr>
          <w:ilvl w:val="0"/>
          <w:numId w:val="4"/>
        </w:numPr>
        <w:spacing w:line="440" w:lineRule="exact"/>
        <w:ind w:firstLine="482"/>
        <w:rPr>
          <w:b/>
          <w:bCs/>
          <w:color w:val="auto"/>
          <w:sz w:val="24"/>
          <w:szCs w:val="24"/>
        </w:rPr>
      </w:pPr>
      <w:r>
        <w:rPr>
          <w:rFonts w:hint="eastAsia"/>
          <w:b/>
          <w:bCs/>
          <w:color w:val="auto"/>
          <w:sz w:val="24"/>
          <w:szCs w:val="24"/>
        </w:rPr>
        <w:t>本次采购不收取磋商保证金。</w:t>
      </w:r>
    </w:p>
    <w:p w14:paraId="3F5C7799">
      <w:pPr>
        <w:numPr>
          <w:ilvl w:val="0"/>
          <w:numId w:val="4"/>
        </w:numPr>
        <w:spacing w:line="440" w:lineRule="exact"/>
        <w:ind w:firstLine="482"/>
        <w:rPr>
          <w:b/>
          <w:bCs/>
          <w:color w:val="auto"/>
          <w:sz w:val="24"/>
          <w:szCs w:val="24"/>
        </w:rPr>
      </w:pPr>
      <w:r>
        <w:rPr>
          <w:rFonts w:hint="eastAsia"/>
          <w:b/>
          <w:bCs/>
          <w:color w:val="auto"/>
          <w:sz w:val="24"/>
          <w:szCs w:val="24"/>
          <w:lang w:bidi="ar"/>
        </w:rPr>
        <w:t>本项目非专门面向中小企业采购项目，所属行业为软件和信息技术服务业。</w:t>
      </w:r>
    </w:p>
    <w:p w14:paraId="59650485">
      <w:pPr>
        <w:spacing w:line="440" w:lineRule="exact"/>
        <w:rPr>
          <w:b/>
          <w:color w:val="auto"/>
          <w:sz w:val="24"/>
          <w:szCs w:val="24"/>
        </w:rPr>
      </w:pPr>
      <w:r>
        <w:rPr>
          <w:b/>
          <w:color w:val="auto"/>
          <w:sz w:val="24"/>
          <w:szCs w:val="24"/>
        </w:rPr>
        <w:t>八、凡对本次采购提出询问，请按以下方式联系：</w:t>
      </w:r>
    </w:p>
    <w:p w14:paraId="136B374A">
      <w:pPr>
        <w:spacing w:line="440" w:lineRule="exact"/>
        <w:ind w:firstLine="480"/>
        <w:rPr>
          <w:color w:val="auto"/>
          <w:sz w:val="24"/>
          <w:szCs w:val="24"/>
        </w:rPr>
      </w:pPr>
      <w:r>
        <w:rPr>
          <w:color w:val="auto"/>
          <w:sz w:val="24"/>
          <w:szCs w:val="24"/>
        </w:rPr>
        <w:t>1、采购人信息</w:t>
      </w:r>
    </w:p>
    <w:p w14:paraId="1334C49D">
      <w:pPr>
        <w:spacing w:line="440" w:lineRule="exact"/>
        <w:ind w:firstLine="480"/>
        <w:rPr>
          <w:color w:val="auto"/>
          <w:sz w:val="24"/>
          <w:szCs w:val="24"/>
        </w:rPr>
      </w:pPr>
      <w:r>
        <w:rPr>
          <w:color w:val="auto"/>
          <w:sz w:val="24"/>
          <w:szCs w:val="24"/>
        </w:rPr>
        <w:t>名 称：</w:t>
      </w:r>
      <w:r>
        <w:rPr>
          <w:rFonts w:hint="eastAsia"/>
          <w:color w:val="auto"/>
          <w:sz w:val="24"/>
          <w:szCs w:val="24"/>
        </w:rPr>
        <w:t>常熟市财政局</w:t>
      </w:r>
    </w:p>
    <w:p w14:paraId="6A676D62">
      <w:pPr>
        <w:spacing w:line="440" w:lineRule="exact"/>
        <w:ind w:firstLine="480"/>
        <w:rPr>
          <w:color w:val="auto"/>
          <w:sz w:val="24"/>
          <w:szCs w:val="24"/>
        </w:rPr>
      </w:pPr>
      <w:bookmarkStart w:id="7" w:name="_Toc28359086"/>
      <w:bookmarkStart w:id="8" w:name="_Toc28359009"/>
      <w:r>
        <w:rPr>
          <w:rFonts w:hint="eastAsia"/>
          <w:color w:val="auto"/>
          <w:sz w:val="24"/>
          <w:szCs w:val="24"/>
        </w:rPr>
        <w:t>地 址：常熟市金沙江路8号</w:t>
      </w:r>
    </w:p>
    <w:p w14:paraId="1CDC4B34">
      <w:pPr>
        <w:spacing w:line="440" w:lineRule="exact"/>
        <w:ind w:firstLine="482"/>
        <w:rPr>
          <w:rFonts w:cs="宋体"/>
          <w:color w:val="auto"/>
          <w:sz w:val="24"/>
          <w:szCs w:val="24"/>
        </w:rPr>
      </w:pPr>
      <w:r>
        <w:rPr>
          <w:rFonts w:hint="eastAsia" w:cs="宋体"/>
          <w:color w:val="auto"/>
          <w:sz w:val="24"/>
          <w:szCs w:val="24"/>
        </w:rPr>
        <w:t>联系人：</w:t>
      </w:r>
      <w:r>
        <w:rPr>
          <w:rFonts w:hint="eastAsia"/>
          <w:color w:val="auto"/>
          <w:sz w:val="24"/>
          <w:szCs w:val="24"/>
        </w:rPr>
        <w:t>王欢</w:t>
      </w:r>
    </w:p>
    <w:p w14:paraId="4A3DD45E">
      <w:pPr>
        <w:spacing w:line="440" w:lineRule="exact"/>
        <w:ind w:firstLine="482"/>
        <w:rPr>
          <w:rFonts w:cs="宋体"/>
          <w:color w:val="auto"/>
          <w:sz w:val="24"/>
          <w:szCs w:val="24"/>
        </w:rPr>
      </w:pPr>
      <w:r>
        <w:rPr>
          <w:rFonts w:hint="eastAsia" w:cs="宋体"/>
          <w:color w:val="auto"/>
          <w:sz w:val="24"/>
          <w:szCs w:val="24"/>
        </w:rPr>
        <w:t>联系方式：0512-52898579</w:t>
      </w:r>
    </w:p>
    <w:p w14:paraId="4109091E">
      <w:pPr>
        <w:spacing w:line="440" w:lineRule="exact"/>
        <w:ind w:firstLine="480"/>
        <w:rPr>
          <w:color w:val="auto"/>
          <w:sz w:val="24"/>
          <w:szCs w:val="24"/>
        </w:rPr>
      </w:pPr>
      <w:r>
        <w:rPr>
          <w:color w:val="auto"/>
          <w:sz w:val="24"/>
          <w:szCs w:val="24"/>
        </w:rPr>
        <w:t>2、采购代理机构信息</w:t>
      </w:r>
      <w:bookmarkEnd w:id="7"/>
      <w:bookmarkEnd w:id="8"/>
    </w:p>
    <w:p w14:paraId="12AF9E1D">
      <w:pPr>
        <w:spacing w:line="440" w:lineRule="exact"/>
        <w:ind w:firstLine="482"/>
        <w:rPr>
          <w:rFonts w:cs="宋体"/>
          <w:color w:val="auto"/>
          <w:sz w:val="24"/>
          <w:szCs w:val="24"/>
        </w:rPr>
      </w:pPr>
      <w:bookmarkStart w:id="9" w:name="_Toc28359087"/>
      <w:bookmarkStart w:id="10" w:name="_Toc28359010"/>
      <w:r>
        <w:rPr>
          <w:rFonts w:hint="eastAsia" w:cs="宋体"/>
          <w:color w:val="auto"/>
          <w:sz w:val="24"/>
          <w:szCs w:val="24"/>
        </w:rPr>
        <w:t>单位名称：苏州新天平工程咨询有限公司</w:t>
      </w:r>
    </w:p>
    <w:p w14:paraId="76518CAF">
      <w:pPr>
        <w:spacing w:line="440" w:lineRule="exact"/>
        <w:ind w:firstLine="482"/>
        <w:rPr>
          <w:rFonts w:cs="宋体"/>
          <w:color w:val="auto"/>
          <w:sz w:val="24"/>
          <w:szCs w:val="24"/>
        </w:rPr>
      </w:pPr>
      <w:r>
        <w:rPr>
          <w:rFonts w:hint="eastAsia" w:cs="宋体"/>
          <w:color w:val="auto"/>
          <w:sz w:val="24"/>
          <w:szCs w:val="24"/>
        </w:rPr>
        <w:t>单位地址：常熟市黄河路22号4幢914室</w:t>
      </w:r>
    </w:p>
    <w:p w14:paraId="318F00B9">
      <w:pPr>
        <w:spacing w:line="440" w:lineRule="exact"/>
        <w:ind w:firstLine="482"/>
        <w:rPr>
          <w:rFonts w:cs="宋体"/>
          <w:color w:val="auto"/>
          <w:sz w:val="24"/>
          <w:szCs w:val="24"/>
        </w:rPr>
      </w:pPr>
      <w:r>
        <w:rPr>
          <w:rFonts w:hint="eastAsia" w:cs="宋体"/>
          <w:color w:val="auto"/>
          <w:sz w:val="24"/>
          <w:szCs w:val="24"/>
        </w:rPr>
        <w:t>联系人：曹梦婕</w:t>
      </w:r>
    </w:p>
    <w:p w14:paraId="561B8974">
      <w:pPr>
        <w:spacing w:line="440" w:lineRule="exact"/>
        <w:ind w:firstLine="482"/>
        <w:rPr>
          <w:rFonts w:cs="宋体"/>
          <w:color w:val="auto"/>
          <w:sz w:val="24"/>
          <w:szCs w:val="24"/>
        </w:rPr>
      </w:pPr>
      <w:r>
        <w:rPr>
          <w:rFonts w:hint="eastAsia" w:cs="宋体"/>
          <w:color w:val="auto"/>
          <w:sz w:val="24"/>
          <w:szCs w:val="24"/>
        </w:rPr>
        <w:t>联系方式：0512-52221553</w:t>
      </w:r>
    </w:p>
    <w:p w14:paraId="79751595">
      <w:pPr>
        <w:spacing w:line="440" w:lineRule="exact"/>
        <w:ind w:firstLine="480"/>
        <w:rPr>
          <w:color w:val="auto"/>
          <w:sz w:val="24"/>
          <w:szCs w:val="24"/>
        </w:rPr>
      </w:pPr>
      <w:r>
        <w:rPr>
          <w:color w:val="auto"/>
          <w:sz w:val="24"/>
          <w:szCs w:val="24"/>
        </w:rPr>
        <w:t>3、项目联系方式</w:t>
      </w:r>
      <w:bookmarkEnd w:id="9"/>
      <w:bookmarkEnd w:id="10"/>
    </w:p>
    <w:p w14:paraId="1BC9EB4B">
      <w:pPr>
        <w:spacing w:line="440" w:lineRule="exact"/>
        <w:ind w:firstLine="480"/>
        <w:rPr>
          <w:color w:val="auto"/>
          <w:sz w:val="24"/>
          <w:szCs w:val="24"/>
        </w:rPr>
      </w:pPr>
      <w:r>
        <w:rPr>
          <w:color w:val="auto"/>
          <w:sz w:val="24"/>
          <w:szCs w:val="24"/>
        </w:rPr>
        <w:t>项目联系人：</w:t>
      </w:r>
      <w:r>
        <w:rPr>
          <w:rFonts w:hint="eastAsia"/>
          <w:color w:val="auto"/>
          <w:sz w:val="24"/>
          <w:szCs w:val="24"/>
        </w:rPr>
        <w:t>曹梦婕</w:t>
      </w:r>
    </w:p>
    <w:p w14:paraId="2C5460F5">
      <w:pPr>
        <w:spacing w:line="440" w:lineRule="exact"/>
        <w:ind w:firstLine="480"/>
        <w:rPr>
          <w:color w:val="auto"/>
          <w:sz w:val="24"/>
          <w:szCs w:val="24"/>
        </w:rPr>
      </w:pPr>
      <w:r>
        <w:rPr>
          <w:color w:val="auto"/>
          <w:sz w:val="24"/>
          <w:szCs w:val="24"/>
        </w:rPr>
        <w:t>电</w:t>
      </w:r>
      <w:r>
        <w:rPr>
          <w:rFonts w:hint="eastAsia"/>
          <w:color w:val="auto"/>
          <w:sz w:val="24"/>
          <w:szCs w:val="24"/>
        </w:rPr>
        <w:t xml:space="preserve"> </w:t>
      </w:r>
      <w:r>
        <w:rPr>
          <w:color w:val="auto"/>
          <w:sz w:val="24"/>
          <w:szCs w:val="24"/>
        </w:rPr>
        <w:t>话：</w:t>
      </w:r>
      <w:r>
        <w:rPr>
          <w:rFonts w:hint="eastAsia"/>
          <w:color w:val="auto"/>
          <w:sz w:val="24"/>
          <w:szCs w:val="24"/>
        </w:rPr>
        <w:t>0512-52221553</w:t>
      </w:r>
    </w:p>
    <w:p w14:paraId="3C186022">
      <w:pPr>
        <w:pStyle w:val="4"/>
        <w:ind w:firstLine="904"/>
        <w:rPr>
          <w:rFonts w:ascii="Times New Roman" w:hAnsi="Times New Roman"/>
          <w:color w:val="auto"/>
        </w:rPr>
      </w:pPr>
      <w:r>
        <w:rPr>
          <w:rFonts w:ascii="Times New Roman" w:hAnsi="Times New Roman"/>
          <w:color w:val="auto"/>
        </w:rPr>
        <w:br w:type="page" w:clear="all"/>
      </w:r>
      <w:bookmarkStart w:id="11" w:name="_Toc9139"/>
      <w:bookmarkStart w:id="12" w:name="_Toc6381"/>
      <w:bookmarkStart w:id="13" w:name="_Toc26053"/>
      <w:r>
        <w:rPr>
          <w:rFonts w:ascii="Times New Roman" w:hAnsi="Times New Roman"/>
          <w:color w:val="auto"/>
        </w:rPr>
        <w:t>第</w:t>
      </w:r>
      <w:r>
        <w:rPr>
          <w:rFonts w:hint="eastAsia" w:ascii="Times New Roman" w:hAnsi="Times New Roman"/>
          <w:color w:val="auto"/>
        </w:rPr>
        <w:t>二</w:t>
      </w:r>
      <w:r>
        <w:rPr>
          <w:rFonts w:ascii="Times New Roman" w:hAnsi="Times New Roman"/>
          <w:color w:val="auto"/>
        </w:rPr>
        <w:t>章  供应商须知</w:t>
      </w:r>
      <w:bookmarkEnd w:id="11"/>
      <w:bookmarkEnd w:id="12"/>
      <w:bookmarkEnd w:id="13"/>
    </w:p>
    <w:p w14:paraId="0E2CDCFC">
      <w:pPr>
        <w:pStyle w:val="5"/>
        <w:rPr>
          <w:color w:val="auto"/>
        </w:rPr>
      </w:pPr>
      <w:bookmarkStart w:id="14" w:name="_Toc30357"/>
      <w:bookmarkStart w:id="15" w:name="_Toc25719"/>
      <w:bookmarkStart w:id="16" w:name="_Toc6033"/>
      <w:bookmarkStart w:id="17" w:name="_Toc30091"/>
      <w:r>
        <w:rPr>
          <w:color w:val="auto"/>
        </w:rPr>
        <w:t>一、总则</w:t>
      </w:r>
      <w:bookmarkEnd w:id="14"/>
      <w:bookmarkEnd w:id="15"/>
      <w:bookmarkEnd w:id="16"/>
      <w:bookmarkEnd w:id="17"/>
    </w:p>
    <w:p w14:paraId="6A2660D9">
      <w:pPr>
        <w:spacing w:line="440" w:lineRule="exact"/>
        <w:rPr>
          <w:b/>
          <w:color w:val="auto"/>
          <w:sz w:val="24"/>
          <w:szCs w:val="24"/>
        </w:rPr>
      </w:pPr>
      <w:bookmarkStart w:id="18" w:name="_Toc458694821"/>
      <w:bookmarkStart w:id="19" w:name="_Toc16938520"/>
      <w:bookmarkStart w:id="20" w:name="_Toc20823276"/>
      <w:bookmarkStart w:id="21" w:name="_Toc513029204"/>
      <w:r>
        <w:rPr>
          <w:rFonts w:hint="eastAsia"/>
          <w:b/>
          <w:color w:val="auto"/>
          <w:sz w:val="24"/>
          <w:szCs w:val="24"/>
        </w:rPr>
        <w:t>1</w:t>
      </w:r>
      <w:bookmarkEnd w:id="18"/>
      <w:r>
        <w:rPr>
          <w:rFonts w:hint="eastAsia"/>
          <w:b/>
          <w:color w:val="auto"/>
          <w:sz w:val="24"/>
          <w:szCs w:val="24"/>
        </w:rPr>
        <w:t>、采购方式</w:t>
      </w:r>
      <w:bookmarkEnd w:id="19"/>
      <w:bookmarkEnd w:id="20"/>
      <w:bookmarkEnd w:id="21"/>
      <w:r>
        <w:rPr>
          <w:rFonts w:hint="eastAsia"/>
          <w:b/>
          <w:color w:val="auto"/>
          <w:sz w:val="24"/>
          <w:szCs w:val="24"/>
        </w:rPr>
        <w:t>及适用法律</w:t>
      </w:r>
    </w:p>
    <w:p w14:paraId="5D5E529A">
      <w:pPr>
        <w:spacing w:line="440" w:lineRule="exact"/>
        <w:ind w:firstLine="360"/>
        <w:rPr>
          <w:color w:val="auto"/>
          <w:sz w:val="24"/>
          <w:szCs w:val="24"/>
        </w:rPr>
      </w:pPr>
      <w:r>
        <w:rPr>
          <w:color w:val="auto"/>
          <w:sz w:val="24"/>
          <w:szCs w:val="24"/>
        </w:rPr>
        <w:t>1.1</w:t>
      </w:r>
      <w:r>
        <w:rPr>
          <w:rFonts w:hint="eastAsia"/>
          <w:color w:val="auto"/>
          <w:sz w:val="24"/>
          <w:szCs w:val="24"/>
        </w:rPr>
        <w:t xml:space="preserve"> 本次采购采取竞争性磋商（</w:t>
      </w:r>
      <w:r>
        <w:rPr>
          <w:color w:val="auto"/>
          <w:sz w:val="24"/>
          <w:szCs w:val="24"/>
        </w:rPr>
        <w:t>以下简称磋商</w:t>
      </w:r>
      <w:r>
        <w:rPr>
          <w:rFonts w:hint="eastAsia"/>
          <w:color w:val="auto"/>
          <w:sz w:val="24"/>
          <w:szCs w:val="24"/>
        </w:rPr>
        <w:t>）方式，本</w:t>
      </w:r>
      <w:r>
        <w:rPr>
          <w:color w:val="auto"/>
          <w:sz w:val="24"/>
          <w:szCs w:val="24"/>
        </w:rPr>
        <w:t>磋商文件</w:t>
      </w:r>
      <w:r>
        <w:rPr>
          <w:rFonts w:hint="eastAsia"/>
          <w:color w:val="auto"/>
          <w:sz w:val="24"/>
          <w:szCs w:val="24"/>
        </w:rPr>
        <w:t>仅适用于采购公告中所述项目。</w:t>
      </w:r>
    </w:p>
    <w:p w14:paraId="0693BBC2">
      <w:pPr>
        <w:spacing w:line="440" w:lineRule="exact"/>
        <w:ind w:firstLine="360"/>
        <w:rPr>
          <w:color w:val="auto"/>
          <w:sz w:val="24"/>
          <w:szCs w:val="24"/>
        </w:rPr>
      </w:pPr>
      <w:r>
        <w:rPr>
          <w:rFonts w:hint="eastAsia"/>
          <w:color w:val="auto"/>
          <w:sz w:val="24"/>
          <w:szCs w:val="24"/>
        </w:rPr>
        <w:t>1</w:t>
      </w:r>
      <w:r>
        <w:rPr>
          <w:color w:val="auto"/>
          <w:sz w:val="24"/>
          <w:szCs w:val="24"/>
        </w:rPr>
        <w:t xml:space="preserve">.2 </w:t>
      </w:r>
      <w:r>
        <w:rPr>
          <w:rFonts w:hint="eastAsia"/>
          <w:color w:val="auto"/>
          <w:sz w:val="24"/>
          <w:szCs w:val="24"/>
        </w:rPr>
        <w:t>本次采购及由此产生的合同受中华人民共和国有关的法律法规制约和保护</w:t>
      </w:r>
      <w:r>
        <w:rPr>
          <w:color w:val="auto"/>
          <w:sz w:val="24"/>
          <w:szCs w:val="24"/>
        </w:rPr>
        <w:t>。</w:t>
      </w:r>
    </w:p>
    <w:p w14:paraId="6C96C4D6">
      <w:pPr>
        <w:spacing w:line="440" w:lineRule="exact"/>
        <w:rPr>
          <w:b/>
          <w:color w:val="auto"/>
          <w:sz w:val="24"/>
          <w:szCs w:val="24"/>
        </w:rPr>
      </w:pPr>
      <w:r>
        <w:rPr>
          <w:b/>
          <w:color w:val="auto"/>
          <w:sz w:val="24"/>
          <w:szCs w:val="24"/>
        </w:rPr>
        <w:t>2、定义</w:t>
      </w:r>
    </w:p>
    <w:p w14:paraId="6F0A2AE5">
      <w:pPr>
        <w:spacing w:line="440" w:lineRule="exact"/>
        <w:ind w:firstLine="360"/>
        <w:rPr>
          <w:color w:val="auto"/>
          <w:sz w:val="24"/>
          <w:szCs w:val="24"/>
        </w:rPr>
      </w:pPr>
      <w:r>
        <w:rPr>
          <w:color w:val="auto"/>
          <w:sz w:val="24"/>
          <w:szCs w:val="24"/>
        </w:rPr>
        <w:t>2.1</w:t>
      </w:r>
      <w:r>
        <w:rPr>
          <w:rFonts w:hint="eastAsia" w:cs="宋体"/>
          <w:color w:val="auto"/>
          <w:sz w:val="24"/>
          <w:szCs w:val="24"/>
        </w:rPr>
        <w:t xml:space="preserve"> “采购代理机构”系</w:t>
      </w:r>
      <w:r>
        <w:rPr>
          <w:color w:val="auto"/>
          <w:sz w:val="24"/>
          <w:szCs w:val="24"/>
        </w:rPr>
        <w:t>指组织本次招标的</w:t>
      </w:r>
      <w:r>
        <w:rPr>
          <w:rFonts w:hint="eastAsia"/>
          <w:color w:val="auto"/>
          <w:sz w:val="24"/>
          <w:szCs w:val="24"/>
        </w:rPr>
        <w:t>苏州新天平工程咨询有限公司</w:t>
      </w:r>
      <w:r>
        <w:rPr>
          <w:color w:val="auto"/>
          <w:sz w:val="24"/>
          <w:szCs w:val="24"/>
        </w:rPr>
        <w:t>（以下简称</w:t>
      </w:r>
      <w:r>
        <w:rPr>
          <w:rFonts w:hint="eastAsia" w:cs="宋体"/>
          <w:color w:val="auto"/>
          <w:sz w:val="24"/>
          <w:szCs w:val="24"/>
        </w:rPr>
        <w:t>“代理机构”</w:t>
      </w:r>
      <w:r>
        <w:rPr>
          <w:color w:val="auto"/>
          <w:sz w:val="24"/>
          <w:szCs w:val="24"/>
        </w:rPr>
        <w:t>）。</w:t>
      </w:r>
    </w:p>
    <w:p w14:paraId="741C756B">
      <w:pPr>
        <w:spacing w:line="440" w:lineRule="exact"/>
        <w:ind w:firstLine="360"/>
        <w:rPr>
          <w:color w:val="auto"/>
          <w:sz w:val="24"/>
          <w:szCs w:val="24"/>
        </w:rPr>
      </w:pPr>
      <w:r>
        <w:rPr>
          <w:color w:val="auto"/>
          <w:sz w:val="24"/>
          <w:szCs w:val="24"/>
        </w:rPr>
        <w:t xml:space="preserve">2.2 </w:t>
      </w:r>
      <w:r>
        <w:rPr>
          <w:rFonts w:hint="eastAsia" w:cs="宋体"/>
          <w:color w:val="auto"/>
          <w:sz w:val="24"/>
          <w:szCs w:val="24"/>
        </w:rPr>
        <w:t>“供应商</w:t>
      </w:r>
      <w:r>
        <w:rPr>
          <w:rFonts w:hint="eastAsia"/>
          <w:color w:val="auto"/>
          <w:sz w:val="24"/>
          <w:szCs w:val="24"/>
        </w:rPr>
        <w:t>”</w:t>
      </w:r>
      <w:r>
        <w:rPr>
          <w:color w:val="auto"/>
          <w:sz w:val="24"/>
          <w:szCs w:val="24"/>
        </w:rPr>
        <w:t>系指</w:t>
      </w:r>
      <w:r>
        <w:rPr>
          <w:rFonts w:hint="eastAsia"/>
          <w:color w:val="auto"/>
          <w:sz w:val="24"/>
          <w:szCs w:val="24"/>
        </w:rPr>
        <w:t>响应采购、参加磋商竞争的供应商</w:t>
      </w:r>
      <w:r>
        <w:rPr>
          <w:color w:val="auto"/>
          <w:sz w:val="24"/>
          <w:szCs w:val="24"/>
        </w:rPr>
        <w:t>。</w:t>
      </w:r>
    </w:p>
    <w:p w14:paraId="02D18F2C">
      <w:pPr>
        <w:spacing w:line="440" w:lineRule="exact"/>
        <w:ind w:firstLine="360"/>
        <w:rPr>
          <w:color w:val="auto"/>
          <w:sz w:val="24"/>
          <w:szCs w:val="24"/>
        </w:rPr>
      </w:pPr>
      <w:r>
        <w:rPr>
          <w:color w:val="auto"/>
          <w:sz w:val="24"/>
          <w:szCs w:val="24"/>
        </w:rPr>
        <w:t>2.</w:t>
      </w:r>
      <w:r>
        <w:rPr>
          <w:rFonts w:hint="eastAsia"/>
          <w:color w:val="auto"/>
          <w:sz w:val="24"/>
          <w:szCs w:val="24"/>
        </w:rPr>
        <w:t>4</w:t>
      </w:r>
      <w:r>
        <w:rPr>
          <w:color w:val="auto"/>
          <w:sz w:val="24"/>
          <w:szCs w:val="24"/>
        </w:rPr>
        <w:t xml:space="preserve"> </w:t>
      </w:r>
      <w:r>
        <w:rPr>
          <w:rFonts w:hint="eastAsia" w:cs="宋体"/>
          <w:color w:val="auto"/>
          <w:sz w:val="24"/>
          <w:szCs w:val="24"/>
        </w:rPr>
        <w:t>“采购人”系</w:t>
      </w:r>
      <w:r>
        <w:rPr>
          <w:color w:val="auto"/>
          <w:sz w:val="24"/>
          <w:szCs w:val="24"/>
        </w:rPr>
        <w:t>指购买本项目相关服务的国家机关、事业单位、团体组织。</w:t>
      </w:r>
    </w:p>
    <w:p w14:paraId="3C6E43DB">
      <w:pPr>
        <w:spacing w:line="440" w:lineRule="exact"/>
        <w:rPr>
          <w:b/>
          <w:color w:val="auto"/>
          <w:sz w:val="24"/>
          <w:szCs w:val="24"/>
        </w:rPr>
      </w:pPr>
      <w:r>
        <w:rPr>
          <w:rFonts w:hint="eastAsia"/>
          <w:b/>
          <w:color w:val="auto"/>
          <w:sz w:val="24"/>
          <w:szCs w:val="24"/>
        </w:rPr>
        <w:t>3</w:t>
      </w:r>
      <w:r>
        <w:rPr>
          <w:b/>
          <w:color w:val="auto"/>
          <w:sz w:val="24"/>
          <w:szCs w:val="24"/>
        </w:rPr>
        <w:t>、合格磋商供应商的条件</w:t>
      </w:r>
    </w:p>
    <w:p w14:paraId="6D2DFD3A">
      <w:pPr>
        <w:spacing w:line="440" w:lineRule="exact"/>
        <w:ind w:firstLine="360"/>
        <w:rPr>
          <w:color w:val="auto"/>
          <w:sz w:val="24"/>
          <w:szCs w:val="24"/>
        </w:rPr>
      </w:pPr>
      <w:r>
        <w:rPr>
          <w:color w:val="auto"/>
          <w:sz w:val="24"/>
          <w:szCs w:val="24"/>
        </w:rPr>
        <w:t>3</w:t>
      </w:r>
      <w:r>
        <w:rPr>
          <w:rFonts w:hint="eastAsia"/>
          <w:color w:val="auto"/>
          <w:sz w:val="24"/>
          <w:szCs w:val="24"/>
        </w:rPr>
        <w:t>.1</w:t>
      </w:r>
      <w:r>
        <w:rPr>
          <w:color w:val="auto"/>
          <w:sz w:val="24"/>
          <w:szCs w:val="24"/>
        </w:rPr>
        <w:t xml:space="preserve"> </w:t>
      </w:r>
      <w:r>
        <w:rPr>
          <w:rFonts w:hint="eastAsia"/>
          <w:color w:val="auto"/>
          <w:sz w:val="24"/>
          <w:szCs w:val="24"/>
        </w:rPr>
        <w:t>满足采购公告中申请人的资格要求的规定，</w:t>
      </w:r>
      <w:r>
        <w:rPr>
          <w:color w:val="auto"/>
          <w:sz w:val="24"/>
          <w:szCs w:val="24"/>
        </w:rPr>
        <w:t>详见《</w:t>
      </w:r>
      <w:r>
        <w:rPr>
          <w:rFonts w:hint="eastAsia"/>
          <w:color w:val="auto"/>
          <w:sz w:val="24"/>
          <w:szCs w:val="24"/>
        </w:rPr>
        <w:t>第一章 磋商邀请》中</w:t>
      </w:r>
      <w:r>
        <w:rPr>
          <w:color w:val="auto"/>
          <w:sz w:val="24"/>
          <w:szCs w:val="24"/>
        </w:rPr>
        <w:t>申请人的资格要求</w:t>
      </w:r>
      <w:r>
        <w:rPr>
          <w:rFonts w:hint="eastAsia"/>
          <w:color w:val="auto"/>
          <w:sz w:val="24"/>
          <w:szCs w:val="24"/>
        </w:rPr>
        <w:t>。</w:t>
      </w:r>
    </w:p>
    <w:p w14:paraId="185894A8">
      <w:pPr>
        <w:spacing w:line="440" w:lineRule="exact"/>
        <w:ind w:firstLine="360"/>
        <w:rPr>
          <w:color w:val="auto"/>
          <w:sz w:val="24"/>
          <w:szCs w:val="24"/>
        </w:rPr>
      </w:pPr>
      <w:r>
        <w:rPr>
          <w:color w:val="auto"/>
          <w:sz w:val="24"/>
          <w:szCs w:val="24"/>
        </w:rPr>
        <w:t>3</w:t>
      </w:r>
      <w:r>
        <w:rPr>
          <w:rFonts w:hint="eastAsia"/>
          <w:color w:val="auto"/>
          <w:sz w:val="24"/>
          <w:szCs w:val="24"/>
        </w:rPr>
        <w:t>.2 满足本文件实质性要求和条件的规定。</w:t>
      </w:r>
    </w:p>
    <w:p w14:paraId="194BAACE">
      <w:pPr>
        <w:spacing w:line="440" w:lineRule="exact"/>
        <w:rPr>
          <w:b/>
          <w:color w:val="auto"/>
          <w:sz w:val="24"/>
          <w:szCs w:val="24"/>
        </w:rPr>
      </w:pPr>
      <w:r>
        <w:rPr>
          <w:rFonts w:hint="eastAsia"/>
          <w:b/>
          <w:color w:val="auto"/>
          <w:sz w:val="24"/>
          <w:szCs w:val="24"/>
        </w:rPr>
        <w:t>4</w:t>
      </w:r>
      <w:r>
        <w:rPr>
          <w:b/>
          <w:color w:val="auto"/>
          <w:sz w:val="24"/>
          <w:szCs w:val="24"/>
        </w:rPr>
        <w:t>、磋商费用</w:t>
      </w:r>
    </w:p>
    <w:p w14:paraId="06E4560A">
      <w:pPr>
        <w:spacing w:line="440" w:lineRule="exact"/>
        <w:ind w:firstLine="360"/>
        <w:rPr>
          <w:color w:val="auto"/>
          <w:sz w:val="24"/>
          <w:szCs w:val="24"/>
        </w:rPr>
      </w:pPr>
      <w:r>
        <w:rPr>
          <w:color w:val="auto"/>
          <w:sz w:val="24"/>
          <w:szCs w:val="24"/>
        </w:rPr>
        <w:t>4.1 供应商应自行承担所有与准备和参加本次磋商有关的一切费用。</w:t>
      </w:r>
      <w:r>
        <w:rPr>
          <w:rFonts w:hint="eastAsia"/>
          <w:color w:val="auto"/>
          <w:sz w:val="24"/>
          <w:szCs w:val="24"/>
        </w:rPr>
        <w:t>无论报价过程中的做法和结果如何，</w:t>
      </w:r>
      <w:r>
        <w:rPr>
          <w:color w:val="auto"/>
          <w:sz w:val="24"/>
          <w:szCs w:val="24"/>
        </w:rPr>
        <w:t>代理机构在任何情况下均无义务和责任承担这些费用。</w:t>
      </w:r>
    </w:p>
    <w:p w14:paraId="00C56FC4">
      <w:pPr>
        <w:spacing w:line="440" w:lineRule="exact"/>
        <w:ind w:firstLine="360"/>
        <w:rPr>
          <w:b/>
          <w:bCs/>
          <w:color w:val="auto"/>
          <w:sz w:val="24"/>
          <w:szCs w:val="24"/>
        </w:rPr>
      </w:pPr>
      <w:r>
        <w:rPr>
          <w:b/>
          <w:bCs/>
          <w:color w:val="auto"/>
          <w:sz w:val="24"/>
          <w:szCs w:val="24"/>
        </w:rPr>
        <w:t>4.2 中标服务费</w:t>
      </w:r>
      <w:r>
        <w:rPr>
          <w:rFonts w:hint="eastAsia"/>
          <w:b/>
          <w:bCs/>
          <w:color w:val="auto"/>
          <w:sz w:val="24"/>
          <w:szCs w:val="24"/>
        </w:rPr>
        <w:t>：</w:t>
      </w:r>
      <w:r>
        <w:rPr>
          <w:b/>
          <w:bCs/>
          <w:color w:val="auto"/>
          <w:sz w:val="24"/>
          <w:szCs w:val="24"/>
        </w:rPr>
        <w:t>本项目</w:t>
      </w:r>
      <w:r>
        <w:rPr>
          <w:rFonts w:hint="eastAsia"/>
          <w:b/>
          <w:bCs/>
          <w:color w:val="auto"/>
          <w:sz w:val="24"/>
          <w:szCs w:val="24"/>
        </w:rPr>
        <w:t>成交</w:t>
      </w:r>
      <w:r>
        <w:rPr>
          <w:b/>
          <w:bCs/>
          <w:color w:val="auto"/>
          <w:sz w:val="24"/>
          <w:szCs w:val="24"/>
        </w:rPr>
        <w:t>服务费为人民币</w:t>
      </w:r>
      <w:r>
        <w:rPr>
          <w:rFonts w:hint="eastAsia"/>
          <w:b/>
          <w:bCs/>
          <w:color w:val="auto"/>
          <w:sz w:val="24"/>
          <w:szCs w:val="24"/>
        </w:rPr>
        <w:t>壹万肆仟壹佰玖拾元整</w:t>
      </w:r>
      <w:r>
        <w:rPr>
          <w:b/>
          <w:bCs/>
          <w:color w:val="auto"/>
          <w:sz w:val="24"/>
          <w:szCs w:val="24"/>
        </w:rPr>
        <w:t>，在发成交通知书时由成交供应商向采购代理机构支付，一次性付清。</w:t>
      </w:r>
    </w:p>
    <w:p w14:paraId="315D532C">
      <w:pPr>
        <w:spacing w:line="440" w:lineRule="exact"/>
        <w:ind w:firstLine="480"/>
        <w:rPr>
          <w:b/>
          <w:bCs/>
          <w:color w:val="auto"/>
          <w:sz w:val="24"/>
          <w:szCs w:val="24"/>
        </w:rPr>
      </w:pPr>
      <w:r>
        <w:rPr>
          <w:rFonts w:hint="eastAsia"/>
          <w:b/>
          <w:bCs/>
          <w:color w:val="auto"/>
          <w:sz w:val="24"/>
          <w:szCs w:val="24"/>
        </w:rPr>
        <w:t>苏州新天平工程咨询有限公司</w:t>
      </w:r>
      <w:r>
        <w:rPr>
          <w:b/>
          <w:bCs/>
          <w:color w:val="auto"/>
          <w:sz w:val="24"/>
          <w:szCs w:val="24"/>
        </w:rPr>
        <w:t>指定</w:t>
      </w:r>
      <w:r>
        <w:rPr>
          <w:rFonts w:hint="eastAsia"/>
          <w:b/>
          <w:bCs/>
          <w:color w:val="auto"/>
          <w:sz w:val="24"/>
          <w:szCs w:val="24"/>
        </w:rPr>
        <w:t>账</w:t>
      </w:r>
      <w:r>
        <w:rPr>
          <w:b/>
          <w:bCs/>
          <w:color w:val="auto"/>
          <w:sz w:val="24"/>
          <w:szCs w:val="24"/>
        </w:rPr>
        <w:t>户：</w:t>
      </w:r>
    </w:p>
    <w:p w14:paraId="644C95D3">
      <w:pPr>
        <w:spacing w:line="440" w:lineRule="exact"/>
        <w:ind w:firstLine="480"/>
        <w:rPr>
          <w:b/>
          <w:bCs/>
          <w:color w:val="auto"/>
          <w:sz w:val="24"/>
          <w:szCs w:val="24"/>
        </w:rPr>
      </w:pPr>
      <w:r>
        <w:rPr>
          <w:rFonts w:hint="eastAsia"/>
          <w:b/>
          <w:bCs/>
          <w:color w:val="auto"/>
          <w:sz w:val="24"/>
          <w:szCs w:val="24"/>
        </w:rPr>
        <w:t>账户名：苏州新天平工程咨询有限公司常熟分公司</w:t>
      </w:r>
    </w:p>
    <w:p w14:paraId="691CB8FF">
      <w:pPr>
        <w:spacing w:line="440" w:lineRule="exact"/>
        <w:ind w:firstLine="480"/>
        <w:rPr>
          <w:b/>
          <w:bCs/>
          <w:color w:val="auto"/>
          <w:sz w:val="24"/>
          <w:szCs w:val="24"/>
        </w:rPr>
      </w:pPr>
      <w:r>
        <w:rPr>
          <w:rFonts w:hint="eastAsia"/>
          <w:b/>
          <w:bCs/>
          <w:color w:val="auto"/>
          <w:sz w:val="24"/>
          <w:szCs w:val="24"/>
        </w:rPr>
        <w:t>开户银行：中国民生银行常熟支行</w:t>
      </w:r>
    </w:p>
    <w:p w14:paraId="0DF20208">
      <w:pPr>
        <w:spacing w:line="440" w:lineRule="exact"/>
        <w:ind w:firstLine="480"/>
        <w:rPr>
          <w:b/>
          <w:bCs/>
          <w:color w:val="auto"/>
          <w:sz w:val="24"/>
          <w:szCs w:val="24"/>
        </w:rPr>
      </w:pPr>
      <w:r>
        <w:rPr>
          <w:rFonts w:hint="eastAsia"/>
          <w:b/>
          <w:bCs/>
          <w:color w:val="auto"/>
          <w:sz w:val="24"/>
          <w:szCs w:val="24"/>
        </w:rPr>
        <w:t>帐  号：692156213</w:t>
      </w:r>
    </w:p>
    <w:p w14:paraId="184495E5">
      <w:pPr>
        <w:spacing w:line="440" w:lineRule="exact"/>
        <w:rPr>
          <w:b/>
          <w:color w:val="auto"/>
          <w:sz w:val="24"/>
          <w:szCs w:val="24"/>
        </w:rPr>
      </w:pPr>
      <w:r>
        <w:rPr>
          <w:rFonts w:hint="eastAsia"/>
          <w:b/>
          <w:color w:val="auto"/>
          <w:sz w:val="24"/>
          <w:szCs w:val="24"/>
        </w:rPr>
        <w:t>5</w:t>
      </w:r>
      <w:r>
        <w:rPr>
          <w:b/>
          <w:color w:val="auto"/>
          <w:sz w:val="24"/>
          <w:szCs w:val="24"/>
        </w:rPr>
        <w:t>、磋商文件约束力</w:t>
      </w:r>
    </w:p>
    <w:p w14:paraId="1A373362">
      <w:pPr>
        <w:spacing w:line="440" w:lineRule="exact"/>
        <w:ind w:firstLine="360"/>
        <w:rPr>
          <w:color w:val="auto"/>
          <w:sz w:val="24"/>
          <w:szCs w:val="24"/>
        </w:rPr>
      </w:pPr>
      <w:r>
        <w:rPr>
          <w:rFonts w:hint="eastAsia"/>
          <w:color w:val="auto"/>
          <w:sz w:val="24"/>
          <w:szCs w:val="24"/>
        </w:rPr>
        <w:t>5</w:t>
      </w:r>
      <w:r>
        <w:rPr>
          <w:color w:val="auto"/>
          <w:sz w:val="24"/>
          <w:szCs w:val="24"/>
        </w:rPr>
        <w:t>.1 供应商一旦参加磋商，即被认为接受了本磋商文件中的所有条件</w:t>
      </w:r>
      <w:r>
        <w:rPr>
          <w:rFonts w:hint="eastAsia"/>
          <w:color w:val="auto"/>
          <w:sz w:val="24"/>
          <w:szCs w:val="24"/>
        </w:rPr>
        <w:t>、</w:t>
      </w:r>
      <w:r>
        <w:rPr>
          <w:color w:val="auto"/>
          <w:sz w:val="24"/>
          <w:szCs w:val="24"/>
        </w:rPr>
        <w:t>规定</w:t>
      </w:r>
      <w:r>
        <w:rPr>
          <w:rFonts w:hint="eastAsia"/>
          <w:color w:val="auto"/>
          <w:sz w:val="24"/>
          <w:szCs w:val="24"/>
        </w:rPr>
        <w:t>和约束</w:t>
      </w:r>
      <w:r>
        <w:rPr>
          <w:color w:val="auto"/>
          <w:sz w:val="24"/>
          <w:szCs w:val="24"/>
        </w:rPr>
        <w:t>。</w:t>
      </w:r>
    </w:p>
    <w:p w14:paraId="52BAEB20">
      <w:pPr>
        <w:spacing w:line="440" w:lineRule="exact"/>
        <w:rPr>
          <w:b/>
          <w:color w:val="auto"/>
          <w:sz w:val="24"/>
          <w:szCs w:val="24"/>
        </w:rPr>
      </w:pPr>
      <w:r>
        <w:rPr>
          <w:rFonts w:hint="eastAsia"/>
          <w:b/>
          <w:color w:val="auto"/>
          <w:sz w:val="24"/>
          <w:szCs w:val="24"/>
        </w:rPr>
        <w:t>6</w:t>
      </w:r>
      <w:r>
        <w:rPr>
          <w:b/>
          <w:color w:val="auto"/>
          <w:sz w:val="24"/>
          <w:szCs w:val="24"/>
        </w:rPr>
        <w:t>、磋商采购活动的终止</w:t>
      </w:r>
    </w:p>
    <w:p w14:paraId="67DB1120">
      <w:pPr>
        <w:spacing w:line="440" w:lineRule="exact"/>
        <w:ind w:firstLine="360"/>
        <w:rPr>
          <w:color w:val="auto"/>
          <w:sz w:val="24"/>
          <w:szCs w:val="24"/>
        </w:rPr>
      </w:pPr>
      <w:r>
        <w:rPr>
          <w:rFonts w:hint="eastAsia"/>
          <w:color w:val="auto"/>
          <w:sz w:val="24"/>
          <w:szCs w:val="24"/>
        </w:rPr>
        <w:t>6</w:t>
      </w:r>
      <w:r>
        <w:rPr>
          <w:color w:val="auto"/>
          <w:sz w:val="24"/>
          <w:szCs w:val="24"/>
        </w:rPr>
        <w:t>.1 在采购活动中因重大变故，采购任务取消的，采购人或者代理机构将按规定终止本项目采购活动，并将在指定媒体上发布终止公告。所有参加采购活动的供应商可在本磋商公告网站上查看到相关终止信息。</w:t>
      </w:r>
    </w:p>
    <w:p w14:paraId="5A2CE50C">
      <w:pPr>
        <w:pStyle w:val="5"/>
        <w:rPr>
          <w:color w:val="auto"/>
        </w:rPr>
      </w:pPr>
      <w:bookmarkStart w:id="22" w:name="_Toc6710"/>
      <w:bookmarkStart w:id="23" w:name="_Toc14021"/>
      <w:bookmarkStart w:id="24" w:name="_Toc13167"/>
      <w:bookmarkStart w:id="25" w:name="_Toc26118"/>
      <w:r>
        <w:rPr>
          <w:color w:val="auto"/>
        </w:rPr>
        <w:t>二、磋商文件的说明</w:t>
      </w:r>
      <w:bookmarkEnd w:id="22"/>
      <w:bookmarkEnd w:id="23"/>
      <w:bookmarkEnd w:id="24"/>
      <w:bookmarkEnd w:id="25"/>
    </w:p>
    <w:p w14:paraId="075BD0D5">
      <w:pPr>
        <w:spacing w:line="440" w:lineRule="exact"/>
        <w:rPr>
          <w:b/>
          <w:color w:val="auto"/>
          <w:sz w:val="24"/>
          <w:szCs w:val="24"/>
        </w:rPr>
      </w:pPr>
      <w:r>
        <w:rPr>
          <w:b/>
          <w:color w:val="auto"/>
          <w:sz w:val="24"/>
          <w:szCs w:val="24"/>
        </w:rPr>
        <w:t>1、磋商文件的构成</w:t>
      </w:r>
    </w:p>
    <w:p w14:paraId="68673C31">
      <w:pPr>
        <w:spacing w:line="440" w:lineRule="exact"/>
        <w:ind w:firstLine="360"/>
        <w:rPr>
          <w:color w:val="auto"/>
          <w:sz w:val="24"/>
          <w:szCs w:val="24"/>
        </w:rPr>
      </w:pPr>
      <w:r>
        <w:rPr>
          <w:color w:val="auto"/>
          <w:sz w:val="24"/>
          <w:szCs w:val="24"/>
        </w:rPr>
        <w:t>1.1 磋商文件由下列内容组成：</w:t>
      </w:r>
    </w:p>
    <w:p w14:paraId="5B7D0236">
      <w:pPr>
        <w:spacing w:line="440" w:lineRule="exact"/>
        <w:ind w:firstLine="840"/>
        <w:rPr>
          <w:color w:val="auto"/>
          <w:sz w:val="24"/>
          <w:szCs w:val="24"/>
        </w:rPr>
      </w:pPr>
      <w:r>
        <w:rPr>
          <w:color w:val="auto"/>
          <w:sz w:val="24"/>
          <w:szCs w:val="24"/>
        </w:rPr>
        <w:t>第一章  磋商邀请</w:t>
      </w:r>
    </w:p>
    <w:p w14:paraId="65CAA65C">
      <w:pPr>
        <w:spacing w:line="440" w:lineRule="exact"/>
        <w:ind w:firstLine="840"/>
        <w:rPr>
          <w:color w:val="auto"/>
          <w:sz w:val="24"/>
          <w:szCs w:val="24"/>
        </w:rPr>
      </w:pPr>
      <w:r>
        <w:rPr>
          <w:color w:val="auto"/>
          <w:sz w:val="24"/>
          <w:szCs w:val="24"/>
        </w:rPr>
        <w:t>第二章  供应商须知</w:t>
      </w:r>
    </w:p>
    <w:p w14:paraId="2A5D01F9">
      <w:pPr>
        <w:spacing w:line="440" w:lineRule="exact"/>
        <w:ind w:firstLine="840"/>
        <w:rPr>
          <w:color w:val="auto"/>
          <w:sz w:val="24"/>
          <w:szCs w:val="24"/>
        </w:rPr>
      </w:pPr>
      <w:r>
        <w:rPr>
          <w:color w:val="auto"/>
          <w:sz w:val="24"/>
          <w:szCs w:val="24"/>
        </w:rPr>
        <w:t>第</w:t>
      </w:r>
      <w:r>
        <w:rPr>
          <w:rFonts w:hint="eastAsia"/>
          <w:color w:val="auto"/>
          <w:sz w:val="24"/>
          <w:szCs w:val="24"/>
        </w:rPr>
        <w:t>三</w:t>
      </w:r>
      <w:r>
        <w:rPr>
          <w:color w:val="auto"/>
          <w:sz w:val="24"/>
          <w:szCs w:val="24"/>
        </w:rPr>
        <w:t>章  合同</w:t>
      </w:r>
      <w:r>
        <w:rPr>
          <w:rFonts w:hint="eastAsia"/>
          <w:color w:val="auto"/>
          <w:sz w:val="24"/>
          <w:szCs w:val="24"/>
        </w:rPr>
        <w:t>文本</w:t>
      </w:r>
    </w:p>
    <w:p w14:paraId="4D216C2C">
      <w:pPr>
        <w:spacing w:line="440" w:lineRule="exact"/>
        <w:ind w:firstLine="840"/>
        <w:rPr>
          <w:color w:val="auto"/>
          <w:sz w:val="24"/>
          <w:szCs w:val="24"/>
        </w:rPr>
      </w:pPr>
      <w:r>
        <w:rPr>
          <w:color w:val="auto"/>
          <w:sz w:val="24"/>
          <w:szCs w:val="24"/>
        </w:rPr>
        <w:t xml:space="preserve">第四章  </w:t>
      </w:r>
      <w:r>
        <w:rPr>
          <w:rFonts w:hint="eastAsia"/>
          <w:color w:val="auto"/>
          <w:sz w:val="24"/>
          <w:szCs w:val="24"/>
        </w:rPr>
        <w:t>采购需求</w:t>
      </w:r>
    </w:p>
    <w:p w14:paraId="163FAF1A">
      <w:pPr>
        <w:spacing w:line="440" w:lineRule="exact"/>
        <w:ind w:firstLine="840"/>
        <w:rPr>
          <w:color w:val="auto"/>
          <w:sz w:val="24"/>
          <w:szCs w:val="24"/>
        </w:rPr>
      </w:pPr>
      <w:r>
        <w:rPr>
          <w:color w:val="auto"/>
          <w:sz w:val="24"/>
          <w:szCs w:val="24"/>
        </w:rPr>
        <w:t xml:space="preserve">第五章  </w:t>
      </w:r>
      <w:r>
        <w:rPr>
          <w:rFonts w:hint="eastAsia"/>
          <w:color w:val="auto"/>
          <w:sz w:val="24"/>
          <w:szCs w:val="24"/>
        </w:rPr>
        <w:t>评标方法与评标标准</w:t>
      </w:r>
    </w:p>
    <w:p w14:paraId="242D2721">
      <w:pPr>
        <w:spacing w:line="440" w:lineRule="exact"/>
        <w:ind w:firstLine="840"/>
        <w:rPr>
          <w:color w:val="auto"/>
          <w:sz w:val="24"/>
          <w:szCs w:val="24"/>
        </w:rPr>
      </w:pPr>
      <w:r>
        <w:rPr>
          <w:color w:val="auto"/>
          <w:sz w:val="24"/>
          <w:szCs w:val="24"/>
        </w:rPr>
        <w:t>第</w:t>
      </w:r>
      <w:r>
        <w:rPr>
          <w:rFonts w:hint="eastAsia"/>
          <w:color w:val="auto"/>
          <w:sz w:val="24"/>
          <w:szCs w:val="24"/>
        </w:rPr>
        <w:t>六</w:t>
      </w:r>
      <w:r>
        <w:rPr>
          <w:color w:val="auto"/>
          <w:sz w:val="24"/>
          <w:szCs w:val="24"/>
        </w:rPr>
        <w:t>章  磋商响应文件格式</w:t>
      </w:r>
    </w:p>
    <w:p w14:paraId="7342D6AE">
      <w:pPr>
        <w:spacing w:line="440" w:lineRule="exact"/>
        <w:ind w:firstLine="360"/>
        <w:rPr>
          <w:color w:val="auto"/>
          <w:sz w:val="24"/>
          <w:szCs w:val="24"/>
        </w:rPr>
      </w:pPr>
      <w:r>
        <w:rPr>
          <w:color w:val="auto"/>
          <w:sz w:val="24"/>
          <w:szCs w:val="24"/>
        </w:rPr>
        <w:t>1.2 请仔细检查磋商文件是否齐全，如有缺漏，请立即与代理机构联系解决。</w:t>
      </w:r>
    </w:p>
    <w:p w14:paraId="6632CC2B">
      <w:pPr>
        <w:spacing w:line="440" w:lineRule="exact"/>
        <w:ind w:firstLine="360"/>
        <w:rPr>
          <w:color w:val="auto"/>
          <w:sz w:val="24"/>
          <w:szCs w:val="24"/>
        </w:rPr>
      </w:pPr>
      <w:r>
        <w:rPr>
          <w:rFonts w:hint="eastAsia"/>
          <w:color w:val="auto"/>
          <w:sz w:val="24"/>
          <w:szCs w:val="24"/>
        </w:rPr>
        <w:t>1.3</w:t>
      </w:r>
      <w:r>
        <w:rPr>
          <w:color w:val="auto"/>
          <w:sz w:val="24"/>
          <w:szCs w:val="24"/>
        </w:rPr>
        <w:t xml:space="preserve"> </w:t>
      </w:r>
      <w:r>
        <w:rPr>
          <w:rFonts w:hint="eastAsia"/>
          <w:color w:val="auto"/>
          <w:sz w:val="24"/>
          <w:szCs w:val="24"/>
        </w:rPr>
        <w:t>供应商</w:t>
      </w:r>
      <w:r>
        <w:rPr>
          <w:color w:val="auto"/>
          <w:sz w:val="24"/>
          <w:szCs w:val="24"/>
        </w:rPr>
        <w:t>应认真阅读</w:t>
      </w:r>
      <w:r>
        <w:rPr>
          <w:rFonts w:hint="eastAsia"/>
          <w:color w:val="auto"/>
          <w:sz w:val="24"/>
          <w:szCs w:val="24"/>
        </w:rPr>
        <w:t>磋商</w:t>
      </w:r>
      <w:r>
        <w:rPr>
          <w:color w:val="auto"/>
          <w:sz w:val="24"/>
          <w:szCs w:val="24"/>
        </w:rPr>
        <w:t>文件中所有的事项、格式、条款和规范等要求。按</w:t>
      </w:r>
      <w:r>
        <w:rPr>
          <w:rFonts w:hint="eastAsia"/>
          <w:color w:val="auto"/>
          <w:sz w:val="24"/>
          <w:szCs w:val="24"/>
        </w:rPr>
        <w:t>磋商</w:t>
      </w:r>
      <w:r>
        <w:rPr>
          <w:color w:val="auto"/>
          <w:sz w:val="24"/>
          <w:szCs w:val="24"/>
        </w:rPr>
        <w:t>文件要求和规定编制</w:t>
      </w:r>
      <w:r>
        <w:rPr>
          <w:rFonts w:hint="eastAsia"/>
          <w:color w:val="auto"/>
          <w:sz w:val="24"/>
          <w:szCs w:val="24"/>
        </w:rPr>
        <w:t>响应</w:t>
      </w:r>
      <w:r>
        <w:rPr>
          <w:color w:val="auto"/>
          <w:sz w:val="24"/>
          <w:szCs w:val="24"/>
        </w:rPr>
        <w:t>文件，并保证所提供的全部资料的真实性，以使其</w:t>
      </w:r>
      <w:r>
        <w:rPr>
          <w:rFonts w:hint="eastAsia"/>
          <w:color w:val="auto"/>
          <w:sz w:val="24"/>
          <w:szCs w:val="24"/>
        </w:rPr>
        <w:t>响应</w:t>
      </w:r>
      <w:r>
        <w:rPr>
          <w:color w:val="auto"/>
          <w:sz w:val="24"/>
          <w:szCs w:val="24"/>
        </w:rPr>
        <w:t>文件对</w:t>
      </w:r>
      <w:r>
        <w:rPr>
          <w:rFonts w:hint="eastAsia"/>
          <w:color w:val="auto"/>
          <w:sz w:val="24"/>
          <w:szCs w:val="24"/>
        </w:rPr>
        <w:t>磋商</w:t>
      </w:r>
      <w:r>
        <w:rPr>
          <w:color w:val="auto"/>
          <w:sz w:val="24"/>
          <w:szCs w:val="24"/>
        </w:rPr>
        <w:t>文件作出实质性响应，否则其风险由</w:t>
      </w:r>
      <w:r>
        <w:rPr>
          <w:rFonts w:hint="eastAsia"/>
          <w:color w:val="auto"/>
          <w:sz w:val="24"/>
          <w:szCs w:val="24"/>
        </w:rPr>
        <w:t>供应商</w:t>
      </w:r>
      <w:r>
        <w:rPr>
          <w:color w:val="auto"/>
          <w:sz w:val="24"/>
          <w:szCs w:val="24"/>
        </w:rPr>
        <w:t>自行承担。</w:t>
      </w:r>
    </w:p>
    <w:p w14:paraId="45CF6A4F">
      <w:pPr>
        <w:spacing w:line="440" w:lineRule="exact"/>
        <w:ind w:firstLine="360"/>
        <w:rPr>
          <w:color w:val="auto"/>
          <w:sz w:val="24"/>
          <w:szCs w:val="24"/>
        </w:rPr>
      </w:pPr>
      <w:r>
        <w:rPr>
          <w:rFonts w:hint="eastAsia"/>
          <w:color w:val="auto"/>
          <w:sz w:val="24"/>
          <w:szCs w:val="24"/>
        </w:rPr>
        <w:t>1.4 磋商文件及其更正事项</w:t>
      </w:r>
      <w:r>
        <w:rPr>
          <w:color w:val="auto"/>
          <w:sz w:val="24"/>
          <w:szCs w:val="24"/>
        </w:rPr>
        <w:t>如不是直接从指定媒体地址下载获得的</w:t>
      </w:r>
      <w:r>
        <w:rPr>
          <w:rFonts w:hint="eastAsia" w:cs="宋体"/>
          <w:color w:val="auto"/>
          <w:sz w:val="24"/>
          <w:szCs w:val="24"/>
        </w:rPr>
        <w:t>，</w:t>
      </w:r>
      <w:r>
        <w:rPr>
          <w:color w:val="auto"/>
          <w:sz w:val="24"/>
          <w:szCs w:val="24"/>
        </w:rPr>
        <w:t>采购人或代理机构</w:t>
      </w:r>
      <w:r>
        <w:rPr>
          <w:rFonts w:hint="eastAsia"/>
          <w:color w:val="auto"/>
          <w:sz w:val="24"/>
          <w:szCs w:val="24"/>
        </w:rPr>
        <w:t>对磋商文件及其补遗的真实性、完整性不承担任何责任。</w:t>
      </w:r>
    </w:p>
    <w:p w14:paraId="412E26A0">
      <w:pPr>
        <w:spacing w:line="440" w:lineRule="exact"/>
        <w:rPr>
          <w:b/>
          <w:color w:val="auto"/>
          <w:sz w:val="24"/>
          <w:szCs w:val="24"/>
        </w:rPr>
      </w:pPr>
      <w:r>
        <w:rPr>
          <w:b/>
          <w:color w:val="auto"/>
          <w:sz w:val="24"/>
          <w:szCs w:val="24"/>
        </w:rPr>
        <w:t>2、磋商文件的澄清、修改</w:t>
      </w:r>
    </w:p>
    <w:p w14:paraId="228C9E5F">
      <w:pPr>
        <w:spacing w:line="440" w:lineRule="exact"/>
        <w:ind w:firstLine="360"/>
        <w:rPr>
          <w:b/>
          <w:color w:val="auto"/>
          <w:sz w:val="24"/>
          <w:szCs w:val="24"/>
        </w:rPr>
      </w:pPr>
      <w:r>
        <w:rPr>
          <w:color w:val="auto"/>
          <w:sz w:val="24"/>
          <w:szCs w:val="24"/>
        </w:rPr>
        <w:t>2.1 响应文件提交截止之日前，代理机构可对已发出的磋商文件进行必要的澄清或者修改，并将在指定媒体上发布更正公告。</w:t>
      </w:r>
      <w:r>
        <w:rPr>
          <w:b/>
          <w:color w:val="auto"/>
          <w:sz w:val="24"/>
          <w:szCs w:val="24"/>
        </w:rPr>
        <w:t>各供应商应在响应文件提交截止时间前关注发布媒体上发布的更正（补充）公告，按规定获取相关信息内容，否则其磋商风险由供应商承担。</w:t>
      </w:r>
    </w:p>
    <w:p w14:paraId="07A4589D">
      <w:pPr>
        <w:spacing w:line="440" w:lineRule="exact"/>
        <w:ind w:firstLine="360"/>
        <w:rPr>
          <w:color w:val="auto"/>
          <w:sz w:val="24"/>
          <w:szCs w:val="24"/>
        </w:rPr>
      </w:pPr>
      <w:r>
        <w:rPr>
          <w:rFonts w:hint="eastAsia"/>
          <w:color w:val="auto"/>
          <w:sz w:val="24"/>
          <w:szCs w:val="24"/>
        </w:rPr>
        <w:t>2.2 代理机构有权按照法定的要求顺延截止时间和开标时间。</w:t>
      </w:r>
    </w:p>
    <w:p w14:paraId="46E8380E">
      <w:pPr>
        <w:spacing w:line="440" w:lineRule="exact"/>
        <w:ind w:firstLine="360"/>
        <w:rPr>
          <w:color w:val="auto"/>
          <w:sz w:val="24"/>
          <w:szCs w:val="24"/>
        </w:rPr>
      </w:pPr>
      <w:r>
        <w:rPr>
          <w:color w:val="auto"/>
          <w:sz w:val="24"/>
          <w:szCs w:val="24"/>
        </w:rPr>
        <w:t>2.</w:t>
      </w:r>
      <w:r>
        <w:rPr>
          <w:rFonts w:hint="eastAsia"/>
          <w:color w:val="auto"/>
          <w:sz w:val="24"/>
          <w:szCs w:val="24"/>
        </w:rPr>
        <w:t>3</w:t>
      </w:r>
      <w:r>
        <w:rPr>
          <w:color w:val="auto"/>
          <w:sz w:val="24"/>
          <w:szCs w:val="24"/>
        </w:rPr>
        <w:t xml:space="preserve"> 代理机构一旦对磋商文件作出了澄清、修改，即刻发生效力，有关澄清或者修改的内容作为磋商文件的组成部分，对所有磋商文件收受人均具有约束力。</w:t>
      </w:r>
    </w:p>
    <w:p w14:paraId="55BB53B1">
      <w:pPr>
        <w:pStyle w:val="76"/>
        <w:rPr>
          <w:color w:val="auto"/>
        </w:rPr>
      </w:pPr>
    </w:p>
    <w:p w14:paraId="0E8688A4">
      <w:pPr>
        <w:keepNext/>
        <w:rPr>
          <w:color w:val="auto"/>
        </w:rPr>
      </w:pPr>
      <w:bookmarkStart w:id="26" w:name="_Toc27161"/>
    </w:p>
    <w:p w14:paraId="5A34BF2A">
      <w:pPr>
        <w:pStyle w:val="5"/>
        <w:rPr>
          <w:color w:val="auto"/>
        </w:rPr>
      </w:pPr>
      <w:bookmarkStart w:id="27" w:name="_Toc336"/>
      <w:bookmarkStart w:id="28" w:name="_Toc21965"/>
      <w:bookmarkStart w:id="29" w:name="_Toc5763"/>
      <w:r>
        <w:rPr>
          <w:color w:val="auto"/>
        </w:rPr>
        <w:t>三、磋商响应文件的编制</w:t>
      </w:r>
      <w:bookmarkEnd w:id="26"/>
      <w:bookmarkEnd w:id="27"/>
      <w:bookmarkEnd w:id="28"/>
      <w:bookmarkEnd w:id="29"/>
    </w:p>
    <w:p w14:paraId="349681F4">
      <w:pPr>
        <w:spacing w:line="440" w:lineRule="exact"/>
        <w:rPr>
          <w:b/>
          <w:color w:val="auto"/>
          <w:sz w:val="24"/>
          <w:szCs w:val="24"/>
        </w:rPr>
      </w:pPr>
      <w:bookmarkStart w:id="30" w:name="_Toc20823286"/>
      <w:bookmarkStart w:id="31" w:name="_Toc513029214"/>
      <w:bookmarkStart w:id="32" w:name="_Toc16938530"/>
      <w:bookmarkStart w:id="33" w:name="_Toc462564073"/>
      <w:r>
        <w:rPr>
          <w:rFonts w:hint="eastAsia"/>
          <w:b/>
          <w:color w:val="auto"/>
          <w:sz w:val="24"/>
          <w:szCs w:val="24"/>
        </w:rPr>
        <w:t>1、</w:t>
      </w:r>
      <w:r>
        <w:rPr>
          <w:b/>
          <w:color w:val="auto"/>
          <w:sz w:val="24"/>
          <w:szCs w:val="24"/>
        </w:rPr>
        <w:t>响应</w:t>
      </w:r>
      <w:r>
        <w:rPr>
          <w:rFonts w:hint="eastAsia"/>
          <w:b/>
          <w:color w:val="auto"/>
          <w:sz w:val="24"/>
          <w:szCs w:val="24"/>
        </w:rPr>
        <w:t>文件的语言及度量衡单位</w:t>
      </w:r>
      <w:bookmarkEnd w:id="30"/>
      <w:bookmarkEnd w:id="31"/>
      <w:bookmarkEnd w:id="32"/>
      <w:bookmarkEnd w:id="33"/>
    </w:p>
    <w:p w14:paraId="0D04435D">
      <w:pPr>
        <w:spacing w:line="440" w:lineRule="exact"/>
        <w:ind w:firstLine="360"/>
        <w:rPr>
          <w:color w:val="auto"/>
          <w:sz w:val="24"/>
          <w:szCs w:val="24"/>
        </w:rPr>
      </w:pPr>
      <w:r>
        <w:rPr>
          <w:rFonts w:hint="eastAsia"/>
          <w:color w:val="auto"/>
          <w:sz w:val="24"/>
          <w:szCs w:val="24"/>
        </w:rPr>
        <w:t>1.1 供应商提交的响应文件以及供应商与代理机构就有关</w:t>
      </w:r>
      <w:r>
        <w:rPr>
          <w:color w:val="auto"/>
          <w:sz w:val="24"/>
          <w:szCs w:val="24"/>
        </w:rPr>
        <w:t>磋商</w:t>
      </w:r>
      <w:r>
        <w:rPr>
          <w:rFonts w:hint="eastAsia"/>
          <w:color w:val="auto"/>
          <w:sz w:val="24"/>
          <w:szCs w:val="24"/>
        </w:rPr>
        <w:t>的所有来往通知、函件和文件均应使用简体中文。必须使用其他文字的，应附有中文译本。对于未附有中文译本和中文译本不准确的</w:t>
      </w:r>
      <w:r>
        <w:rPr>
          <w:color w:val="auto"/>
          <w:spacing w:val="-2"/>
          <w:sz w:val="24"/>
        </w:rPr>
        <w:t>响应</w:t>
      </w:r>
      <w:r>
        <w:rPr>
          <w:rFonts w:hint="eastAsia"/>
          <w:color w:val="auto"/>
          <w:sz w:val="24"/>
          <w:szCs w:val="24"/>
        </w:rPr>
        <w:t>文件，由此引起对</w:t>
      </w:r>
      <w:r>
        <w:rPr>
          <w:color w:val="auto"/>
          <w:sz w:val="24"/>
          <w:szCs w:val="24"/>
        </w:rPr>
        <w:t>供应商</w:t>
      </w:r>
      <w:r>
        <w:rPr>
          <w:rFonts w:hint="eastAsia"/>
          <w:color w:val="auto"/>
          <w:sz w:val="24"/>
          <w:szCs w:val="24"/>
        </w:rPr>
        <w:t>不利后果的，采购人或代理机构概不负责</w:t>
      </w:r>
      <w:r>
        <w:rPr>
          <w:color w:val="auto"/>
          <w:sz w:val="24"/>
          <w:szCs w:val="24"/>
        </w:rPr>
        <w:t>。</w:t>
      </w:r>
    </w:p>
    <w:p w14:paraId="7798F277">
      <w:pPr>
        <w:spacing w:line="440" w:lineRule="exact"/>
        <w:ind w:firstLine="360"/>
        <w:rPr>
          <w:color w:val="auto"/>
          <w:sz w:val="24"/>
          <w:szCs w:val="24"/>
        </w:rPr>
      </w:pPr>
      <w:r>
        <w:rPr>
          <w:rFonts w:hint="eastAsia"/>
          <w:color w:val="auto"/>
          <w:sz w:val="24"/>
          <w:szCs w:val="24"/>
        </w:rPr>
        <w:t>1.2 除另有规定外，响应文件所使用的度量衡单位，均须采用国家法定计量单位。</w:t>
      </w:r>
    </w:p>
    <w:p w14:paraId="419ABB76">
      <w:pPr>
        <w:spacing w:line="440" w:lineRule="exact"/>
        <w:rPr>
          <w:b/>
          <w:color w:val="auto"/>
          <w:sz w:val="24"/>
          <w:szCs w:val="24"/>
        </w:rPr>
      </w:pPr>
      <w:r>
        <w:rPr>
          <w:rFonts w:hint="eastAsia"/>
          <w:b/>
          <w:color w:val="auto"/>
          <w:sz w:val="24"/>
          <w:szCs w:val="24"/>
        </w:rPr>
        <w:t>2</w:t>
      </w:r>
      <w:r>
        <w:rPr>
          <w:b/>
          <w:color w:val="auto"/>
          <w:sz w:val="24"/>
          <w:szCs w:val="24"/>
        </w:rPr>
        <w:t>、</w:t>
      </w:r>
      <w:r>
        <w:rPr>
          <w:rFonts w:hint="eastAsia"/>
          <w:b/>
          <w:color w:val="auto"/>
          <w:sz w:val="24"/>
          <w:szCs w:val="24"/>
        </w:rPr>
        <w:t>响应</w:t>
      </w:r>
      <w:r>
        <w:rPr>
          <w:b/>
          <w:color w:val="auto"/>
          <w:sz w:val="24"/>
          <w:szCs w:val="24"/>
        </w:rPr>
        <w:t>文件构成</w:t>
      </w:r>
    </w:p>
    <w:p w14:paraId="68167E00">
      <w:pPr>
        <w:spacing w:line="440" w:lineRule="exact"/>
        <w:ind w:firstLine="360"/>
        <w:rPr>
          <w:color w:val="auto"/>
          <w:sz w:val="24"/>
          <w:szCs w:val="24"/>
        </w:rPr>
      </w:pPr>
      <w:r>
        <w:rPr>
          <w:rFonts w:hint="eastAsia"/>
          <w:color w:val="auto"/>
          <w:sz w:val="24"/>
          <w:szCs w:val="24"/>
        </w:rPr>
        <w:t>2.1 供应商编写的响应文件应包括磋商响应函、报价一览表、投入费用明细表、项目服务要求响应及偏离表、商务条件响应及偏离表、人员配备表、项目实施方案、业绩一览表、其他证明文件等部分。</w:t>
      </w:r>
    </w:p>
    <w:p w14:paraId="41ECA190">
      <w:pPr>
        <w:spacing w:line="440" w:lineRule="exact"/>
        <w:ind w:firstLine="361"/>
        <w:rPr>
          <w:b/>
          <w:bCs/>
          <w:color w:val="auto"/>
          <w:sz w:val="24"/>
          <w:szCs w:val="24"/>
        </w:rPr>
      </w:pPr>
      <w:r>
        <w:rPr>
          <w:rFonts w:hint="eastAsia"/>
          <w:b/>
          <w:bCs/>
          <w:color w:val="auto"/>
          <w:sz w:val="24"/>
          <w:szCs w:val="24"/>
        </w:rPr>
        <w:t>2.2 如标书制作工具中格式和内容与指定媒体发布的磋商文件不一致，请以指定媒体发布的磋商文件为准。</w:t>
      </w:r>
    </w:p>
    <w:p w14:paraId="2DFEE9CE">
      <w:pPr>
        <w:spacing w:line="440" w:lineRule="exact"/>
        <w:rPr>
          <w:b/>
          <w:color w:val="auto"/>
          <w:sz w:val="24"/>
          <w:szCs w:val="24"/>
        </w:rPr>
      </w:pPr>
      <w:r>
        <w:rPr>
          <w:rFonts w:hint="eastAsia"/>
          <w:b/>
          <w:color w:val="auto"/>
          <w:sz w:val="24"/>
          <w:szCs w:val="24"/>
        </w:rPr>
        <w:t>3、证明供应商及报价标的符合磋商文件规定的文件</w:t>
      </w:r>
    </w:p>
    <w:p w14:paraId="275C4B2B">
      <w:pPr>
        <w:spacing w:line="440" w:lineRule="exact"/>
        <w:ind w:firstLine="360"/>
        <w:rPr>
          <w:color w:val="auto"/>
          <w:sz w:val="24"/>
          <w:szCs w:val="24"/>
        </w:rPr>
      </w:pPr>
      <w:r>
        <w:rPr>
          <w:rFonts w:hint="eastAsia"/>
          <w:color w:val="auto"/>
          <w:sz w:val="24"/>
          <w:szCs w:val="24"/>
        </w:rPr>
        <w:t>3.1 供应商应按照磋商文件要求提交证明文件，证明其及报价标的符合磋商文件规定。</w:t>
      </w:r>
    </w:p>
    <w:p w14:paraId="1ABC8777">
      <w:pPr>
        <w:spacing w:line="440" w:lineRule="exact"/>
        <w:ind w:firstLine="360"/>
        <w:rPr>
          <w:color w:val="auto"/>
          <w:sz w:val="24"/>
          <w:szCs w:val="24"/>
        </w:rPr>
      </w:pPr>
      <w:r>
        <w:rPr>
          <w:rFonts w:hint="eastAsia"/>
          <w:color w:val="auto"/>
          <w:sz w:val="24"/>
          <w:szCs w:val="24"/>
        </w:rPr>
        <w:t>3.2 磋商文件对证明文件无明确形式要求的，证明文件可以以文字资料、图纸和数据等形式提交。</w:t>
      </w:r>
    </w:p>
    <w:p w14:paraId="4DA5A7B6">
      <w:pPr>
        <w:spacing w:line="440" w:lineRule="exact"/>
        <w:rPr>
          <w:b/>
          <w:color w:val="auto"/>
          <w:sz w:val="24"/>
          <w:szCs w:val="24"/>
        </w:rPr>
      </w:pPr>
      <w:r>
        <w:rPr>
          <w:rFonts w:hint="eastAsia"/>
          <w:b/>
          <w:color w:val="auto"/>
          <w:sz w:val="24"/>
          <w:szCs w:val="24"/>
        </w:rPr>
        <w:t>4、磋商响应函、报价一览表</w:t>
      </w:r>
    </w:p>
    <w:p w14:paraId="671FD5E5">
      <w:pPr>
        <w:spacing w:line="440" w:lineRule="exact"/>
        <w:ind w:firstLine="360"/>
        <w:rPr>
          <w:color w:val="auto"/>
          <w:sz w:val="24"/>
          <w:szCs w:val="24"/>
        </w:rPr>
      </w:pPr>
      <w:r>
        <w:rPr>
          <w:rFonts w:hint="eastAsia"/>
          <w:color w:val="auto"/>
          <w:sz w:val="24"/>
          <w:szCs w:val="24"/>
        </w:rPr>
        <w:t>4.1 供应商应按照磋商文件中提供的格式完整、正确填写磋商响应函、报价一览表。</w:t>
      </w:r>
    </w:p>
    <w:p w14:paraId="4B5D97CB">
      <w:pPr>
        <w:spacing w:line="440" w:lineRule="exact"/>
        <w:rPr>
          <w:b/>
          <w:color w:val="auto"/>
          <w:sz w:val="24"/>
          <w:szCs w:val="24"/>
        </w:rPr>
      </w:pPr>
      <w:r>
        <w:rPr>
          <w:rFonts w:hint="eastAsia"/>
          <w:b/>
          <w:color w:val="auto"/>
          <w:sz w:val="24"/>
          <w:szCs w:val="24"/>
        </w:rPr>
        <w:t>5、投入费用明细表</w:t>
      </w:r>
    </w:p>
    <w:p w14:paraId="60952C46">
      <w:pPr>
        <w:spacing w:line="440" w:lineRule="exact"/>
        <w:ind w:firstLine="360"/>
        <w:rPr>
          <w:color w:val="auto"/>
          <w:sz w:val="24"/>
          <w:szCs w:val="24"/>
        </w:rPr>
      </w:pPr>
      <w:r>
        <w:rPr>
          <w:rFonts w:hint="eastAsia"/>
          <w:color w:val="auto"/>
          <w:sz w:val="24"/>
          <w:szCs w:val="24"/>
        </w:rPr>
        <w:t>5.1 供应商应按照磋商文件规定格式填报投入费用明细表。</w:t>
      </w:r>
    </w:p>
    <w:p w14:paraId="55D057FD">
      <w:pPr>
        <w:spacing w:line="440" w:lineRule="exact"/>
        <w:ind w:firstLine="360"/>
        <w:rPr>
          <w:bCs/>
          <w:color w:val="auto"/>
          <w:sz w:val="24"/>
          <w:szCs w:val="21"/>
        </w:rPr>
      </w:pPr>
      <w:r>
        <w:rPr>
          <w:rFonts w:hint="eastAsia"/>
          <w:color w:val="auto"/>
          <w:sz w:val="24"/>
          <w:szCs w:val="24"/>
        </w:rPr>
        <w:t xml:space="preserve">5.2 </w:t>
      </w:r>
      <w:r>
        <w:rPr>
          <w:rFonts w:hint="eastAsia"/>
          <w:bCs/>
          <w:color w:val="auto"/>
          <w:sz w:val="24"/>
          <w:szCs w:val="21"/>
        </w:rPr>
        <w:t>报价货币：</w:t>
      </w:r>
      <w:r>
        <w:rPr>
          <w:rFonts w:hint="eastAsia"/>
          <w:color w:val="auto"/>
          <w:sz w:val="24"/>
          <w:szCs w:val="24"/>
        </w:rPr>
        <w:t>响应文件中的单价和总价无特殊规定的采用人民币报价，以元为单位标注。磋商文件中另有规定的</w:t>
      </w:r>
      <w:r>
        <w:rPr>
          <w:rFonts w:hint="eastAsia"/>
          <w:color w:val="auto"/>
          <w:sz w:val="24"/>
          <w:szCs w:val="21"/>
        </w:rPr>
        <w:t>按规定执行。</w:t>
      </w:r>
    </w:p>
    <w:p w14:paraId="34CC6797">
      <w:pPr>
        <w:spacing w:line="440" w:lineRule="exact"/>
        <w:rPr>
          <w:b/>
          <w:color w:val="auto"/>
          <w:sz w:val="24"/>
          <w:szCs w:val="24"/>
        </w:rPr>
      </w:pPr>
      <w:bookmarkStart w:id="34" w:name="_Hlk155763835"/>
      <w:r>
        <w:rPr>
          <w:rFonts w:hint="eastAsia"/>
          <w:b/>
          <w:color w:val="auto"/>
          <w:sz w:val="24"/>
          <w:szCs w:val="24"/>
        </w:rPr>
        <w:t>6、项目服务要求响应及偏离表、商务条件响应及偏离表</w:t>
      </w:r>
    </w:p>
    <w:p w14:paraId="20AEEE2A">
      <w:pPr>
        <w:spacing w:line="440" w:lineRule="exact"/>
        <w:ind w:firstLine="360"/>
        <w:rPr>
          <w:color w:val="auto"/>
          <w:sz w:val="24"/>
          <w:szCs w:val="24"/>
          <w:lang w:val="zh-CN"/>
        </w:rPr>
      </w:pPr>
      <w:r>
        <w:rPr>
          <w:rFonts w:hint="eastAsia"/>
          <w:color w:val="auto"/>
          <w:sz w:val="24"/>
          <w:szCs w:val="24"/>
        </w:rPr>
        <w:t>6.1</w:t>
      </w:r>
      <w:r>
        <w:rPr>
          <w:rFonts w:hint="eastAsia"/>
          <w:color w:val="auto"/>
          <w:sz w:val="24"/>
          <w:szCs w:val="24"/>
          <w:lang w:val="zh-CN"/>
        </w:rPr>
        <w:t xml:space="preserve"> </w:t>
      </w:r>
      <w:r>
        <w:rPr>
          <w:rFonts w:hint="eastAsia"/>
          <w:color w:val="auto"/>
          <w:sz w:val="24"/>
          <w:szCs w:val="24"/>
        </w:rPr>
        <w:t>供应商</w:t>
      </w:r>
      <w:r>
        <w:rPr>
          <w:rFonts w:hint="eastAsia"/>
          <w:color w:val="auto"/>
          <w:sz w:val="24"/>
          <w:szCs w:val="24"/>
          <w:lang w:val="zh-CN"/>
        </w:rPr>
        <w:t>需对</w:t>
      </w:r>
      <w:r>
        <w:rPr>
          <w:rFonts w:hint="eastAsia"/>
          <w:color w:val="auto"/>
          <w:sz w:val="24"/>
          <w:szCs w:val="24"/>
        </w:rPr>
        <w:t>磋商</w:t>
      </w:r>
      <w:r>
        <w:rPr>
          <w:rFonts w:hint="eastAsia"/>
          <w:color w:val="auto"/>
          <w:sz w:val="24"/>
          <w:szCs w:val="24"/>
          <w:lang w:val="zh-CN"/>
        </w:rPr>
        <w:t>文件中的</w:t>
      </w:r>
      <w:r>
        <w:rPr>
          <w:rFonts w:hint="eastAsia"/>
          <w:color w:val="auto"/>
          <w:sz w:val="24"/>
          <w:szCs w:val="24"/>
        </w:rPr>
        <w:t>服务</w:t>
      </w:r>
      <w:r>
        <w:rPr>
          <w:rFonts w:hint="eastAsia"/>
          <w:color w:val="auto"/>
          <w:sz w:val="24"/>
          <w:szCs w:val="24"/>
          <w:lang w:val="zh-CN"/>
        </w:rPr>
        <w:t>要求与商务要求逐项作出响应或偏离，并说明原因。</w:t>
      </w:r>
    </w:p>
    <w:p w14:paraId="71F380B8">
      <w:pPr>
        <w:spacing w:line="440" w:lineRule="exact"/>
        <w:ind w:firstLine="360"/>
        <w:rPr>
          <w:color w:val="auto"/>
          <w:sz w:val="24"/>
          <w:szCs w:val="24"/>
          <w:lang w:val="zh-CN"/>
        </w:rPr>
      </w:pPr>
      <w:r>
        <w:rPr>
          <w:rFonts w:hint="eastAsia"/>
          <w:color w:val="auto"/>
          <w:sz w:val="24"/>
          <w:szCs w:val="24"/>
        </w:rPr>
        <w:t>6.2</w:t>
      </w:r>
      <w:r>
        <w:rPr>
          <w:rFonts w:hint="eastAsia"/>
          <w:color w:val="auto"/>
          <w:sz w:val="24"/>
          <w:szCs w:val="24"/>
          <w:lang w:val="zh-CN"/>
        </w:rPr>
        <w:t xml:space="preserve"> </w:t>
      </w:r>
      <w:r>
        <w:rPr>
          <w:rFonts w:hint="eastAsia"/>
          <w:color w:val="auto"/>
          <w:sz w:val="24"/>
          <w:szCs w:val="24"/>
        </w:rPr>
        <w:t>供应商</w:t>
      </w:r>
      <w:r>
        <w:rPr>
          <w:rFonts w:hint="eastAsia"/>
          <w:color w:val="auto"/>
          <w:sz w:val="24"/>
          <w:szCs w:val="24"/>
          <w:lang w:val="zh-CN"/>
        </w:rPr>
        <w:t>需按照</w:t>
      </w:r>
      <w:r>
        <w:rPr>
          <w:rFonts w:hint="eastAsia"/>
          <w:color w:val="auto"/>
          <w:sz w:val="24"/>
          <w:szCs w:val="24"/>
        </w:rPr>
        <w:t>磋商</w:t>
      </w:r>
      <w:r>
        <w:rPr>
          <w:rFonts w:hint="eastAsia"/>
          <w:color w:val="auto"/>
          <w:sz w:val="24"/>
          <w:szCs w:val="24"/>
          <w:lang w:val="zh-CN"/>
        </w:rPr>
        <w:t>文件要求，在</w:t>
      </w:r>
      <w:r>
        <w:rPr>
          <w:rFonts w:hint="eastAsia"/>
          <w:color w:val="auto"/>
          <w:sz w:val="24"/>
          <w:szCs w:val="24"/>
        </w:rPr>
        <w:t>响应</w:t>
      </w:r>
      <w:r>
        <w:rPr>
          <w:rFonts w:hint="eastAsia"/>
          <w:color w:val="auto"/>
          <w:sz w:val="24"/>
          <w:szCs w:val="24"/>
          <w:lang w:val="zh-CN"/>
        </w:rPr>
        <w:t>文件中提供与</w:t>
      </w:r>
      <w:r>
        <w:rPr>
          <w:rFonts w:hint="eastAsia"/>
          <w:color w:val="auto"/>
          <w:sz w:val="24"/>
          <w:szCs w:val="24"/>
        </w:rPr>
        <w:t>服务</w:t>
      </w:r>
      <w:r>
        <w:rPr>
          <w:rFonts w:hint="eastAsia"/>
          <w:color w:val="auto"/>
          <w:sz w:val="24"/>
          <w:szCs w:val="24"/>
          <w:lang w:val="zh-CN"/>
        </w:rPr>
        <w:t>要求和商务要求相关的证明材料（</w:t>
      </w:r>
      <w:r>
        <w:rPr>
          <w:rFonts w:hint="eastAsia"/>
          <w:color w:val="auto"/>
          <w:sz w:val="24"/>
          <w:szCs w:val="24"/>
        </w:rPr>
        <w:t>如有</w:t>
      </w:r>
      <w:r>
        <w:rPr>
          <w:rFonts w:hint="eastAsia"/>
          <w:color w:val="auto"/>
          <w:sz w:val="24"/>
          <w:szCs w:val="24"/>
          <w:lang w:val="zh-CN"/>
        </w:rPr>
        <w:t>）。</w:t>
      </w:r>
      <w:bookmarkEnd w:id="34"/>
    </w:p>
    <w:p w14:paraId="259E0D47">
      <w:pPr>
        <w:spacing w:line="440" w:lineRule="exact"/>
        <w:rPr>
          <w:b/>
          <w:color w:val="auto"/>
          <w:sz w:val="24"/>
          <w:szCs w:val="24"/>
        </w:rPr>
      </w:pPr>
      <w:r>
        <w:rPr>
          <w:rFonts w:hint="eastAsia"/>
          <w:b/>
          <w:color w:val="auto"/>
          <w:sz w:val="24"/>
          <w:szCs w:val="24"/>
        </w:rPr>
        <w:t>7、人员配备、项目实施方案、业绩情况</w:t>
      </w:r>
    </w:p>
    <w:p w14:paraId="3B702F24">
      <w:pPr>
        <w:spacing w:line="440" w:lineRule="exact"/>
        <w:ind w:firstLine="360"/>
        <w:rPr>
          <w:color w:val="auto"/>
          <w:sz w:val="24"/>
          <w:szCs w:val="24"/>
        </w:rPr>
      </w:pPr>
      <w:r>
        <w:rPr>
          <w:rFonts w:hint="eastAsia"/>
          <w:color w:val="auto"/>
          <w:sz w:val="24"/>
          <w:szCs w:val="24"/>
        </w:rPr>
        <w:t>7.1 供应商需根据磋商文件要求提供有关人员配置及项目实施方案，如人员配备表、系统业务规范理解、</w:t>
      </w:r>
      <w:r>
        <w:rPr>
          <w:rFonts w:hint="eastAsia" w:cs="宋体"/>
          <w:color w:val="auto"/>
          <w:sz w:val="24"/>
          <w:szCs w:val="24"/>
        </w:rPr>
        <w:t>系统逻辑框架、技术框架、数据框架理解、预算编制和绩效管理实施及运维方案、预算执行模块实施及运维方案、单位财务核算平台实施及运维方案、常熟地区一体化实施及运维方案、质量保证方案、服务管理体系、现场运维服务方案、安全保障方案、应急预案、系统培训方案</w:t>
      </w:r>
      <w:r>
        <w:rPr>
          <w:rFonts w:hint="eastAsia"/>
          <w:color w:val="auto"/>
          <w:sz w:val="24"/>
          <w:szCs w:val="24"/>
        </w:rPr>
        <w:t>等等。</w:t>
      </w:r>
    </w:p>
    <w:p w14:paraId="59CD4374">
      <w:pPr>
        <w:spacing w:line="440" w:lineRule="exact"/>
        <w:ind w:firstLine="360"/>
        <w:rPr>
          <w:color w:val="auto"/>
          <w:sz w:val="24"/>
          <w:szCs w:val="24"/>
        </w:rPr>
      </w:pPr>
      <w:r>
        <w:rPr>
          <w:rFonts w:hint="eastAsia"/>
          <w:color w:val="auto"/>
          <w:sz w:val="24"/>
          <w:szCs w:val="24"/>
        </w:rPr>
        <w:t>7.2 供应商需根据磋商文件要求提供实施的</w:t>
      </w:r>
      <w:r>
        <w:rPr>
          <w:rFonts w:hint="eastAsia" w:cs="宋体"/>
          <w:bCs/>
          <w:color w:val="auto"/>
          <w:sz w:val="24"/>
          <w:szCs w:val="24"/>
        </w:rPr>
        <w:t>项目</w:t>
      </w:r>
      <w:r>
        <w:rPr>
          <w:rFonts w:hint="eastAsia"/>
          <w:color w:val="auto"/>
          <w:sz w:val="24"/>
          <w:szCs w:val="24"/>
        </w:rPr>
        <w:t>业绩情况。</w:t>
      </w:r>
      <w:bookmarkStart w:id="35" w:name="_Toc49090510"/>
      <w:bookmarkEnd w:id="35"/>
      <w:bookmarkStart w:id="36" w:name="_Toc14577359"/>
      <w:bookmarkEnd w:id="36"/>
    </w:p>
    <w:p w14:paraId="32A1AF01">
      <w:pPr>
        <w:spacing w:line="440" w:lineRule="exact"/>
        <w:rPr>
          <w:b/>
          <w:color w:val="auto"/>
          <w:sz w:val="24"/>
          <w:szCs w:val="24"/>
        </w:rPr>
      </w:pPr>
      <w:r>
        <w:rPr>
          <w:rFonts w:hint="eastAsia"/>
          <w:b/>
          <w:color w:val="auto"/>
          <w:sz w:val="24"/>
          <w:szCs w:val="24"/>
        </w:rPr>
        <w:t>8、其他</w:t>
      </w:r>
    </w:p>
    <w:p w14:paraId="7FC3887C">
      <w:pPr>
        <w:spacing w:line="440" w:lineRule="exact"/>
        <w:ind w:firstLine="360"/>
        <w:rPr>
          <w:color w:val="auto"/>
          <w:sz w:val="24"/>
          <w:szCs w:val="24"/>
        </w:rPr>
      </w:pPr>
      <w:r>
        <w:rPr>
          <w:rFonts w:hint="eastAsia"/>
          <w:color w:val="auto"/>
          <w:sz w:val="24"/>
          <w:szCs w:val="24"/>
        </w:rPr>
        <w:t>8.1 供应商需根据磋商文件要求提供的其他材料。</w:t>
      </w:r>
    </w:p>
    <w:p w14:paraId="0B57F60F">
      <w:pPr>
        <w:spacing w:line="440" w:lineRule="exact"/>
        <w:rPr>
          <w:b/>
          <w:color w:val="auto"/>
          <w:sz w:val="24"/>
          <w:szCs w:val="24"/>
        </w:rPr>
      </w:pPr>
      <w:bookmarkStart w:id="37" w:name="_Toc14577360"/>
      <w:bookmarkStart w:id="38" w:name="_Toc49090511"/>
      <w:r>
        <w:rPr>
          <w:rFonts w:hint="eastAsia"/>
          <w:b/>
          <w:color w:val="auto"/>
          <w:sz w:val="24"/>
          <w:szCs w:val="24"/>
        </w:rPr>
        <w:t>9</w:t>
      </w:r>
      <w:r>
        <w:rPr>
          <w:b/>
          <w:color w:val="auto"/>
          <w:sz w:val="24"/>
          <w:szCs w:val="24"/>
        </w:rPr>
        <w:t>、磋商有效期</w:t>
      </w:r>
    </w:p>
    <w:p w14:paraId="48875E69">
      <w:pPr>
        <w:spacing w:line="440" w:lineRule="exact"/>
        <w:ind w:firstLine="360"/>
        <w:rPr>
          <w:color w:val="auto"/>
          <w:sz w:val="24"/>
          <w:szCs w:val="24"/>
        </w:rPr>
      </w:pPr>
      <w:r>
        <w:rPr>
          <w:rFonts w:hint="eastAsia"/>
          <w:color w:val="auto"/>
          <w:sz w:val="24"/>
          <w:szCs w:val="24"/>
        </w:rPr>
        <w:t>9</w:t>
      </w:r>
      <w:r>
        <w:rPr>
          <w:color w:val="auto"/>
          <w:sz w:val="24"/>
          <w:szCs w:val="24"/>
        </w:rPr>
        <w:t>.1 磋商</w:t>
      </w:r>
      <w:r>
        <w:rPr>
          <w:color w:val="auto"/>
          <w:sz w:val="24"/>
        </w:rPr>
        <w:t>有效期为</w:t>
      </w:r>
      <w:r>
        <w:rPr>
          <w:rFonts w:hint="eastAsia"/>
          <w:color w:val="auto"/>
          <w:sz w:val="24"/>
        </w:rPr>
        <w:t>代理机构</w:t>
      </w:r>
      <w:r>
        <w:rPr>
          <w:color w:val="auto"/>
          <w:sz w:val="24"/>
        </w:rPr>
        <w:t>规定的</w:t>
      </w:r>
      <w:r>
        <w:rPr>
          <w:color w:val="auto"/>
          <w:sz w:val="24"/>
          <w:szCs w:val="24"/>
        </w:rPr>
        <w:t>响应文件提交截止之日</w:t>
      </w:r>
      <w:r>
        <w:rPr>
          <w:rFonts w:hint="eastAsia"/>
          <w:color w:val="auto"/>
          <w:sz w:val="24"/>
          <w:szCs w:val="24"/>
        </w:rPr>
        <w:t>后</w:t>
      </w:r>
      <w:r>
        <w:rPr>
          <w:rFonts w:hint="eastAsia"/>
          <w:i/>
          <w:iCs/>
          <w:color w:val="auto"/>
          <w:sz w:val="24"/>
          <w:szCs w:val="24"/>
          <w:u w:val="single"/>
        </w:rPr>
        <w:t>六十（60）天</w:t>
      </w:r>
      <w:r>
        <w:rPr>
          <w:color w:val="auto"/>
          <w:sz w:val="24"/>
        </w:rPr>
        <w:t>。</w:t>
      </w:r>
      <w:r>
        <w:rPr>
          <w:color w:val="auto"/>
          <w:sz w:val="24"/>
          <w:szCs w:val="24"/>
        </w:rPr>
        <w:t>磋商</w:t>
      </w:r>
      <w:r>
        <w:rPr>
          <w:color w:val="auto"/>
          <w:sz w:val="24"/>
        </w:rPr>
        <w:t>有效期</w:t>
      </w:r>
      <w:r>
        <w:rPr>
          <w:rFonts w:hint="eastAsia"/>
          <w:color w:val="auto"/>
          <w:sz w:val="24"/>
          <w:szCs w:val="24"/>
        </w:rPr>
        <w:t>比规定短的将被视为未实质性响应磋商文件而予以拒绝</w:t>
      </w:r>
      <w:r>
        <w:rPr>
          <w:color w:val="auto"/>
          <w:sz w:val="24"/>
          <w:szCs w:val="24"/>
        </w:rPr>
        <w:t>。</w:t>
      </w:r>
      <w:bookmarkEnd w:id="37"/>
      <w:bookmarkEnd w:id="38"/>
    </w:p>
    <w:p w14:paraId="0C3DCE7F">
      <w:pPr>
        <w:spacing w:line="440" w:lineRule="exact"/>
        <w:rPr>
          <w:b/>
          <w:color w:val="auto"/>
          <w:sz w:val="24"/>
          <w:szCs w:val="24"/>
        </w:rPr>
      </w:pPr>
      <w:r>
        <w:rPr>
          <w:rFonts w:hint="eastAsia"/>
          <w:b/>
          <w:color w:val="auto"/>
          <w:sz w:val="24"/>
          <w:szCs w:val="24"/>
        </w:rPr>
        <w:t>10、磋商有效期的延长</w:t>
      </w:r>
    </w:p>
    <w:p w14:paraId="3A278447">
      <w:pPr>
        <w:spacing w:line="440" w:lineRule="exact"/>
        <w:ind w:firstLine="360"/>
        <w:rPr>
          <w:color w:val="auto"/>
          <w:sz w:val="24"/>
          <w:szCs w:val="24"/>
        </w:rPr>
      </w:pPr>
      <w:r>
        <w:rPr>
          <w:rFonts w:hint="eastAsia"/>
          <w:color w:val="auto"/>
          <w:sz w:val="24"/>
          <w:szCs w:val="24"/>
        </w:rPr>
        <w:t>10.1 在特殊情况下，代理机构于原</w:t>
      </w:r>
      <w:r>
        <w:rPr>
          <w:color w:val="auto"/>
          <w:sz w:val="24"/>
          <w:szCs w:val="24"/>
        </w:rPr>
        <w:t>磋商</w:t>
      </w:r>
      <w:r>
        <w:rPr>
          <w:color w:val="auto"/>
          <w:sz w:val="24"/>
        </w:rPr>
        <w:t>有效期</w:t>
      </w:r>
      <w:r>
        <w:rPr>
          <w:rFonts w:hint="eastAsia"/>
          <w:color w:val="auto"/>
          <w:sz w:val="24"/>
          <w:szCs w:val="24"/>
        </w:rPr>
        <w:t>满之前，可向供应商提出延长</w:t>
      </w:r>
      <w:r>
        <w:rPr>
          <w:color w:val="auto"/>
          <w:sz w:val="24"/>
          <w:szCs w:val="24"/>
        </w:rPr>
        <w:t>磋商</w:t>
      </w:r>
      <w:r>
        <w:rPr>
          <w:color w:val="auto"/>
          <w:sz w:val="24"/>
        </w:rPr>
        <w:t>有效期</w:t>
      </w:r>
      <w:r>
        <w:rPr>
          <w:rFonts w:hint="eastAsia"/>
          <w:color w:val="auto"/>
          <w:sz w:val="24"/>
          <w:szCs w:val="24"/>
        </w:rPr>
        <w:t>的要求。这种要求与答复均应采用书面形式。供应商可以拒绝代理机构的这一要求而放弃投标，同意延长</w:t>
      </w:r>
      <w:r>
        <w:rPr>
          <w:color w:val="auto"/>
          <w:sz w:val="24"/>
          <w:szCs w:val="24"/>
        </w:rPr>
        <w:t>磋商</w:t>
      </w:r>
      <w:r>
        <w:rPr>
          <w:color w:val="auto"/>
          <w:sz w:val="24"/>
        </w:rPr>
        <w:t>有效期</w:t>
      </w:r>
      <w:r>
        <w:rPr>
          <w:rFonts w:hint="eastAsia"/>
          <w:color w:val="auto"/>
          <w:sz w:val="24"/>
          <w:szCs w:val="24"/>
        </w:rPr>
        <w:t>的供应商既不能要求也不允许修改其响应文件。受</w:t>
      </w:r>
      <w:r>
        <w:rPr>
          <w:color w:val="auto"/>
          <w:sz w:val="24"/>
          <w:szCs w:val="24"/>
        </w:rPr>
        <w:t>磋商</w:t>
      </w:r>
      <w:r>
        <w:rPr>
          <w:color w:val="auto"/>
          <w:sz w:val="24"/>
        </w:rPr>
        <w:t>有效期</w:t>
      </w:r>
      <w:r>
        <w:rPr>
          <w:rFonts w:hint="eastAsia"/>
          <w:color w:val="auto"/>
          <w:sz w:val="24"/>
          <w:szCs w:val="24"/>
        </w:rPr>
        <w:t>约束的所有权利与义务均延长至新的有效期。</w:t>
      </w:r>
    </w:p>
    <w:p w14:paraId="190A5CBB">
      <w:pPr>
        <w:pStyle w:val="5"/>
        <w:rPr>
          <w:color w:val="auto"/>
        </w:rPr>
      </w:pPr>
      <w:bookmarkStart w:id="39" w:name="_Toc5996"/>
      <w:bookmarkStart w:id="40" w:name="_Toc22900"/>
      <w:bookmarkStart w:id="41" w:name="_Toc126"/>
      <w:bookmarkStart w:id="42" w:name="_Toc9742"/>
      <w:bookmarkStart w:id="43" w:name="_Toc489218441"/>
      <w:r>
        <w:rPr>
          <w:color w:val="auto"/>
        </w:rPr>
        <w:t>四、磋商响应文件的提交</w:t>
      </w:r>
      <w:bookmarkEnd w:id="39"/>
      <w:bookmarkEnd w:id="40"/>
      <w:bookmarkEnd w:id="41"/>
      <w:bookmarkEnd w:id="42"/>
    </w:p>
    <w:p w14:paraId="3D94299B">
      <w:pPr>
        <w:spacing w:line="440" w:lineRule="exact"/>
        <w:rPr>
          <w:b/>
          <w:color w:val="auto"/>
          <w:sz w:val="24"/>
          <w:szCs w:val="24"/>
        </w:rPr>
      </w:pPr>
      <w:r>
        <w:rPr>
          <w:b/>
          <w:color w:val="auto"/>
          <w:sz w:val="24"/>
          <w:szCs w:val="24"/>
        </w:rPr>
        <w:t>1、响应文件的提交</w:t>
      </w:r>
    </w:p>
    <w:p w14:paraId="780CF792">
      <w:pPr>
        <w:spacing w:line="440" w:lineRule="exact"/>
        <w:ind w:firstLine="360"/>
        <w:rPr>
          <w:color w:val="auto"/>
          <w:sz w:val="24"/>
          <w:szCs w:val="24"/>
        </w:rPr>
      </w:pPr>
      <w:r>
        <w:rPr>
          <w:color w:val="auto"/>
          <w:sz w:val="24"/>
          <w:szCs w:val="24"/>
        </w:rPr>
        <w:t xml:space="preserve">1.1 </w:t>
      </w:r>
      <w:r>
        <w:rPr>
          <w:rFonts w:hint="eastAsia"/>
          <w:color w:val="auto"/>
          <w:sz w:val="24"/>
          <w:szCs w:val="24"/>
        </w:rPr>
        <w:t>供应商应当按照《</w:t>
      </w:r>
      <w:r>
        <w:rPr>
          <w:color w:val="auto"/>
          <w:sz w:val="24"/>
          <w:szCs w:val="24"/>
        </w:rPr>
        <w:t>苏采云系统供应商操作手册</w:t>
      </w:r>
      <w:r>
        <w:rPr>
          <w:rFonts w:hint="eastAsia"/>
          <w:color w:val="auto"/>
          <w:sz w:val="24"/>
          <w:szCs w:val="24"/>
        </w:rPr>
        <w:t>》规定，在</w:t>
      </w:r>
      <w:r>
        <w:rPr>
          <w:color w:val="auto"/>
          <w:sz w:val="24"/>
          <w:szCs w:val="24"/>
        </w:rPr>
        <w:t>响应文件提交截止时间</w:t>
      </w:r>
      <w:r>
        <w:rPr>
          <w:rFonts w:hint="eastAsia"/>
          <w:color w:val="auto"/>
          <w:sz w:val="24"/>
          <w:szCs w:val="24"/>
        </w:rPr>
        <w:t>前</w:t>
      </w:r>
      <w:r>
        <w:rPr>
          <w:color w:val="auto"/>
          <w:sz w:val="24"/>
          <w:szCs w:val="24"/>
        </w:rPr>
        <w:t>制作</w:t>
      </w:r>
      <w:r>
        <w:rPr>
          <w:rFonts w:hint="eastAsia"/>
          <w:color w:val="auto"/>
          <w:sz w:val="24"/>
          <w:szCs w:val="24"/>
        </w:rPr>
        <w:t>并上传电子响应文件。</w:t>
      </w:r>
    </w:p>
    <w:p w14:paraId="24829B32">
      <w:pPr>
        <w:spacing w:line="440" w:lineRule="exact"/>
        <w:rPr>
          <w:b/>
          <w:color w:val="auto"/>
          <w:sz w:val="24"/>
          <w:szCs w:val="24"/>
        </w:rPr>
      </w:pPr>
      <w:r>
        <w:rPr>
          <w:b/>
          <w:color w:val="auto"/>
          <w:sz w:val="24"/>
          <w:szCs w:val="24"/>
        </w:rPr>
        <w:t>2、响应文件提交截止时间</w:t>
      </w:r>
    </w:p>
    <w:p w14:paraId="41888A15">
      <w:pPr>
        <w:spacing w:line="440" w:lineRule="exact"/>
        <w:ind w:firstLine="361"/>
        <w:rPr>
          <w:color w:val="auto"/>
          <w:sz w:val="24"/>
          <w:szCs w:val="24"/>
        </w:rPr>
      </w:pPr>
      <w:r>
        <w:rPr>
          <w:rFonts w:hint="eastAsia"/>
          <w:b/>
          <w:bCs/>
          <w:color w:val="auto"/>
          <w:sz w:val="24"/>
          <w:szCs w:val="24"/>
        </w:rPr>
        <w:t xml:space="preserve">2.1 </w:t>
      </w:r>
      <w:r>
        <w:rPr>
          <w:rFonts w:hint="eastAsia"/>
          <w:b/>
          <w:bCs/>
          <w:i/>
          <w:iCs/>
          <w:color w:val="auto"/>
          <w:sz w:val="24"/>
          <w:szCs w:val="24"/>
          <w:u w:val="single"/>
        </w:rPr>
        <w:t>供应商上传电子响应文件的时间不得迟于采购公告中规定的响应文件提交截止时间。</w:t>
      </w:r>
      <w:r>
        <w:rPr>
          <w:rFonts w:hint="eastAsia"/>
          <w:color w:val="auto"/>
          <w:sz w:val="24"/>
          <w:szCs w:val="24"/>
        </w:rPr>
        <w:t>供应商应充分考虑到网络环境、网络带宽等风险因素，如因供应商自身原因造成的电子响应文件上传不成功的按照本磋商文件第二章中“</w:t>
      </w:r>
      <w:bookmarkStart w:id="44" w:name="_Toc20823301"/>
      <w:bookmarkStart w:id="45" w:name="_Toc16938545"/>
      <w:bookmarkStart w:id="46" w:name="_Toc158042193"/>
      <w:bookmarkStart w:id="47" w:name="_Toc120614218"/>
      <w:bookmarkStart w:id="48" w:name="_Toc513029229"/>
      <w:r>
        <w:rPr>
          <w:rFonts w:hint="eastAsia"/>
          <w:color w:val="auto"/>
          <w:sz w:val="24"/>
          <w:szCs w:val="24"/>
        </w:rPr>
        <w:t>五、</w:t>
      </w:r>
      <w:bookmarkEnd w:id="44"/>
      <w:bookmarkEnd w:id="45"/>
      <w:bookmarkEnd w:id="46"/>
      <w:bookmarkEnd w:id="47"/>
      <w:bookmarkEnd w:id="48"/>
      <w:r>
        <w:rPr>
          <w:rFonts w:hint="eastAsia"/>
          <w:color w:val="auto"/>
          <w:sz w:val="24"/>
          <w:szCs w:val="24"/>
        </w:rPr>
        <w:t>磋商与评审”第5.1.2条规定做无效报价处理。</w:t>
      </w:r>
    </w:p>
    <w:p w14:paraId="2E2614F5">
      <w:pPr>
        <w:spacing w:line="440" w:lineRule="exact"/>
        <w:ind w:firstLine="360"/>
        <w:rPr>
          <w:bCs/>
          <w:color w:val="auto"/>
          <w:sz w:val="24"/>
          <w:szCs w:val="21"/>
        </w:rPr>
      </w:pPr>
      <w:r>
        <w:rPr>
          <w:rFonts w:hint="eastAsia"/>
          <w:color w:val="auto"/>
          <w:sz w:val="24"/>
          <w:szCs w:val="24"/>
        </w:rPr>
        <w:t>2.2 代理机构可以按照规定，通过修改</w:t>
      </w:r>
      <w:r>
        <w:rPr>
          <w:color w:val="auto"/>
          <w:sz w:val="24"/>
          <w:szCs w:val="24"/>
        </w:rPr>
        <w:t>磋商文件</w:t>
      </w:r>
      <w:r>
        <w:rPr>
          <w:rFonts w:hint="eastAsia"/>
          <w:color w:val="auto"/>
          <w:sz w:val="24"/>
          <w:szCs w:val="24"/>
        </w:rPr>
        <w:t>酌情延长</w:t>
      </w:r>
      <w:r>
        <w:rPr>
          <w:color w:val="auto"/>
          <w:sz w:val="24"/>
          <w:szCs w:val="24"/>
        </w:rPr>
        <w:t>响应文件提交截止时间</w:t>
      </w:r>
      <w:r>
        <w:rPr>
          <w:rFonts w:hint="eastAsia"/>
          <w:color w:val="auto"/>
          <w:sz w:val="24"/>
          <w:szCs w:val="24"/>
        </w:rPr>
        <w:t>，在此情况下，供应商的所有权利和义务以及</w:t>
      </w:r>
      <w:r>
        <w:rPr>
          <w:color w:val="auto"/>
          <w:sz w:val="24"/>
          <w:szCs w:val="24"/>
        </w:rPr>
        <w:t>供应商</w:t>
      </w:r>
      <w:r>
        <w:rPr>
          <w:rFonts w:hint="eastAsia"/>
          <w:color w:val="auto"/>
          <w:sz w:val="24"/>
          <w:szCs w:val="24"/>
        </w:rPr>
        <w:t>受制的截止日期均应以延长后新的截止日期为准</w:t>
      </w:r>
      <w:r>
        <w:rPr>
          <w:rFonts w:hint="eastAsia"/>
          <w:bCs/>
          <w:color w:val="auto"/>
          <w:sz w:val="24"/>
          <w:szCs w:val="21"/>
        </w:rPr>
        <w:t>。</w:t>
      </w:r>
    </w:p>
    <w:p w14:paraId="05FEBFDE">
      <w:pPr>
        <w:spacing w:line="440" w:lineRule="exact"/>
        <w:rPr>
          <w:b/>
          <w:color w:val="auto"/>
          <w:sz w:val="24"/>
          <w:szCs w:val="24"/>
        </w:rPr>
      </w:pPr>
      <w:bookmarkStart w:id="49" w:name="_Toc16938543"/>
      <w:bookmarkStart w:id="50" w:name="_Toc513029227"/>
      <w:bookmarkStart w:id="51" w:name="_Toc20823299"/>
      <w:r>
        <w:rPr>
          <w:rFonts w:hint="eastAsia"/>
          <w:b/>
          <w:color w:val="auto"/>
          <w:sz w:val="24"/>
          <w:szCs w:val="24"/>
        </w:rPr>
        <w:t>3、</w:t>
      </w:r>
      <w:r>
        <w:rPr>
          <w:b/>
          <w:color w:val="auto"/>
          <w:sz w:val="24"/>
          <w:szCs w:val="24"/>
        </w:rPr>
        <w:t>响应</w:t>
      </w:r>
      <w:r>
        <w:rPr>
          <w:rFonts w:hint="eastAsia"/>
          <w:b/>
          <w:color w:val="auto"/>
          <w:sz w:val="24"/>
          <w:szCs w:val="24"/>
        </w:rPr>
        <w:t>文件</w:t>
      </w:r>
      <w:bookmarkEnd w:id="49"/>
      <w:bookmarkEnd w:id="50"/>
      <w:bookmarkEnd w:id="51"/>
      <w:r>
        <w:rPr>
          <w:rFonts w:hint="eastAsia"/>
          <w:b/>
          <w:color w:val="auto"/>
          <w:sz w:val="24"/>
          <w:szCs w:val="24"/>
        </w:rPr>
        <w:t>的拒收</w:t>
      </w:r>
    </w:p>
    <w:p w14:paraId="1913585B">
      <w:pPr>
        <w:spacing w:line="440" w:lineRule="exact"/>
        <w:ind w:firstLine="360"/>
        <w:rPr>
          <w:color w:val="auto"/>
          <w:sz w:val="24"/>
          <w:szCs w:val="24"/>
        </w:rPr>
      </w:pPr>
      <w:r>
        <w:rPr>
          <w:rFonts w:hint="eastAsia"/>
          <w:color w:val="auto"/>
          <w:sz w:val="24"/>
          <w:szCs w:val="24"/>
        </w:rPr>
        <w:t>3.1 代理机构拒绝接收在其规定的</w:t>
      </w:r>
      <w:r>
        <w:rPr>
          <w:color w:val="auto"/>
          <w:sz w:val="24"/>
          <w:szCs w:val="24"/>
        </w:rPr>
        <w:t>响应文件提交截止时间</w:t>
      </w:r>
      <w:r>
        <w:rPr>
          <w:rFonts w:hint="eastAsia"/>
          <w:color w:val="auto"/>
          <w:sz w:val="24"/>
          <w:szCs w:val="24"/>
        </w:rPr>
        <w:t>后上传的任何响应文件。</w:t>
      </w:r>
    </w:p>
    <w:p w14:paraId="16315116">
      <w:pPr>
        <w:spacing w:line="440" w:lineRule="exact"/>
        <w:rPr>
          <w:b/>
          <w:color w:val="auto"/>
          <w:sz w:val="24"/>
          <w:szCs w:val="24"/>
        </w:rPr>
      </w:pPr>
      <w:bookmarkStart w:id="52" w:name="_Toc16938544"/>
      <w:bookmarkStart w:id="53" w:name="_Toc20823300"/>
      <w:bookmarkStart w:id="54" w:name="_Toc513029228"/>
      <w:r>
        <w:rPr>
          <w:rFonts w:hint="eastAsia"/>
          <w:b/>
          <w:color w:val="auto"/>
          <w:sz w:val="24"/>
          <w:szCs w:val="24"/>
        </w:rPr>
        <w:t>4、</w:t>
      </w:r>
      <w:r>
        <w:rPr>
          <w:b/>
          <w:color w:val="auto"/>
          <w:sz w:val="24"/>
          <w:szCs w:val="24"/>
        </w:rPr>
        <w:t>响应</w:t>
      </w:r>
      <w:r>
        <w:rPr>
          <w:rFonts w:hint="eastAsia"/>
          <w:b/>
          <w:color w:val="auto"/>
          <w:sz w:val="24"/>
          <w:szCs w:val="24"/>
        </w:rPr>
        <w:t>文件的撤回和修改</w:t>
      </w:r>
      <w:bookmarkEnd w:id="52"/>
      <w:bookmarkEnd w:id="53"/>
      <w:bookmarkEnd w:id="54"/>
    </w:p>
    <w:p w14:paraId="7D006B0A">
      <w:pPr>
        <w:spacing w:line="440" w:lineRule="exact"/>
        <w:ind w:firstLine="360"/>
        <w:rPr>
          <w:color w:val="auto"/>
          <w:sz w:val="24"/>
          <w:szCs w:val="24"/>
        </w:rPr>
      </w:pPr>
      <w:r>
        <w:rPr>
          <w:rFonts w:hint="eastAsia"/>
          <w:color w:val="auto"/>
          <w:sz w:val="24"/>
          <w:szCs w:val="24"/>
        </w:rPr>
        <w:t>4.1 响应文件的撤回</w:t>
      </w:r>
    </w:p>
    <w:p w14:paraId="14176BBA">
      <w:pPr>
        <w:spacing w:line="440" w:lineRule="exact"/>
        <w:ind w:firstLine="600"/>
        <w:rPr>
          <w:color w:val="auto"/>
          <w:sz w:val="24"/>
          <w:szCs w:val="24"/>
        </w:rPr>
      </w:pPr>
      <w:r>
        <w:rPr>
          <w:rFonts w:hint="eastAsia"/>
          <w:color w:val="auto"/>
          <w:sz w:val="24"/>
          <w:szCs w:val="24"/>
        </w:rPr>
        <w:t>4.1.1 电子响应文件的撤回</w:t>
      </w:r>
    </w:p>
    <w:p w14:paraId="618C733E">
      <w:pPr>
        <w:spacing w:line="440" w:lineRule="exact"/>
        <w:ind w:firstLine="600"/>
        <w:rPr>
          <w:color w:val="auto"/>
          <w:sz w:val="24"/>
          <w:szCs w:val="24"/>
        </w:rPr>
      </w:pPr>
      <w:r>
        <w:rPr>
          <w:rFonts w:hint="eastAsia"/>
          <w:color w:val="auto"/>
          <w:sz w:val="24"/>
          <w:szCs w:val="24"/>
        </w:rPr>
        <w:t>供应商可在</w:t>
      </w:r>
      <w:r>
        <w:rPr>
          <w:color w:val="auto"/>
          <w:sz w:val="24"/>
          <w:szCs w:val="24"/>
        </w:rPr>
        <w:t>响应文件提交截止时间</w:t>
      </w:r>
      <w:r>
        <w:rPr>
          <w:rFonts w:hint="eastAsia"/>
          <w:color w:val="auto"/>
          <w:sz w:val="24"/>
          <w:szCs w:val="24"/>
        </w:rPr>
        <w:t>前，撤回其电子响应文件，具体操作方法见《苏采云系统供应商操作手册》。</w:t>
      </w:r>
    </w:p>
    <w:p w14:paraId="642E05F6">
      <w:pPr>
        <w:spacing w:line="440" w:lineRule="exact"/>
        <w:ind w:firstLine="602"/>
        <w:rPr>
          <w:b/>
          <w:bCs/>
          <w:color w:val="auto"/>
          <w:sz w:val="24"/>
          <w:szCs w:val="24"/>
        </w:rPr>
      </w:pPr>
      <w:r>
        <w:rPr>
          <w:rFonts w:hint="eastAsia"/>
          <w:b/>
          <w:bCs/>
          <w:color w:val="auto"/>
          <w:sz w:val="24"/>
          <w:szCs w:val="24"/>
        </w:rPr>
        <w:t>4.1.2 供应商撤回电子响应文件，则认为其不再参与本项目投标活动。</w:t>
      </w:r>
    </w:p>
    <w:p w14:paraId="54A7928C">
      <w:pPr>
        <w:spacing w:line="440" w:lineRule="exact"/>
        <w:ind w:firstLine="360"/>
        <w:rPr>
          <w:color w:val="auto"/>
          <w:sz w:val="24"/>
          <w:szCs w:val="24"/>
        </w:rPr>
      </w:pPr>
      <w:r>
        <w:rPr>
          <w:rFonts w:hint="eastAsia"/>
          <w:color w:val="auto"/>
          <w:sz w:val="24"/>
          <w:szCs w:val="24"/>
        </w:rPr>
        <w:t>4.2 响应文件的修改</w:t>
      </w:r>
    </w:p>
    <w:p w14:paraId="3BADD914">
      <w:pPr>
        <w:spacing w:line="440" w:lineRule="exact"/>
        <w:ind w:firstLine="600"/>
        <w:rPr>
          <w:color w:val="auto"/>
          <w:sz w:val="24"/>
          <w:szCs w:val="24"/>
        </w:rPr>
      </w:pPr>
      <w:r>
        <w:rPr>
          <w:rFonts w:hint="eastAsia"/>
          <w:color w:val="auto"/>
          <w:sz w:val="24"/>
          <w:szCs w:val="24"/>
        </w:rPr>
        <w:t>4.2.1 供应商可在</w:t>
      </w:r>
      <w:r>
        <w:rPr>
          <w:color w:val="auto"/>
          <w:sz w:val="24"/>
          <w:szCs w:val="24"/>
        </w:rPr>
        <w:t>响应文件提交截止时间</w:t>
      </w:r>
      <w:r>
        <w:rPr>
          <w:rFonts w:hint="eastAsia"/>
          <w:color w:val="auto"/>
          <w:sz w:val="24"/>
          <w:szCs w:val="24"/>
        </w:rPr>
        <w:t>前，对其电子响应文件进行修改，具体操作方法见《苏采云系统供应商操作手册》。</w:t>
      </w:r>
    </w:p>
    <w:p w14:paraId="176DB467">
      <w:pPr>
        <w:spacing w:line="440" w:lineRule="exact"/>
        <w:ind w:firstLine="600"/>
        <w:rPr>
          <w:color w:val="auto"/>
          <w:sz w:val="24"/>
          <w:szCs w:val="24"/>
        </w:rPr>
      </w:pPr>
      <w:r>
        <w:rPr>
          <w:rFonts w:hint="eastAsia"/>
          <w:color w:val="auto"/>
          <w:sz w:val="24"/>
          <w:szCs w:val="24"/>
        </w:rPr>
        <w:t>4.2.2 在</w:t>
      </w:r>
      <w:r>
        <w:rPr>
          <w:color w:val="auto"/>
          <w:sz w:val="24"/>
          <w:szCs w:val="24"/>
        </w:rPr>
        <w:t>响应文件提交截止时间</w:t>
      </w:r>
      <w:r>
        <w:rPr>
          <w:rFonts w:hint="eastAsia"/>
          <w:color w:val="auto"/>
          <w:sz w:val="24"/>
          <w:szCs w:val="24"/>
        </w:rPr>
        <w:t>之后，</w:t>
      </w:r>
      <w:r>
        <w:rPr>
          <w:color w:val="auto"/>
          <w:sz w:val="24"/>
          <w:szCs w:val="24"/>
        </w:rPr>
        <w:t>供应商</w:t>
      </w:r>
      <w:r>
        <w:rPr>
          <w:rFonts w:hint="eastAsia"/>
          <w:color w:val="auto"/>
          <w:sz w:val="24"/>
          <w:szCs w:val="24"/>
        </w:rPr>
        <w:t>不得对其电子</w:t>
      </w:r>
      <w:r>
        <w:rPr>
          <w:color w:val="auto"/>
          <w:sz w:val="24"/>
          <w:szCs w:val="24"/>
        </w:rPr>
        <w:t>响应</w:t>
      </w:r>
      <w:r>
        <w:rPr>
          <w:rFonts w:hint="eastAsia"/>
          <w:color w:val="auto"/>
          <w:sz w:val="24"/>
          <w:szCs w:val="24"/>
        </w:rPr>
        <w:t>文件作任何修改。</w:t>
      </w:r>
    </w:p>
    <w:p w14:paraId="66AE889D">
      <w:pPr>
        <w:spacing w:line="440" w:lineRule="exact"/>
        <w:ind w:firstLine="360"/>
        <w:rPr>
          <w:color w:val="auto"/>
          <w:sz w:val="24"/>
          <w:szCs w:val="24"/>
        </w:rPr>
      </w:pPr>
      <w:r>
        <w:rPr>
          <w:rFonts w:hint="eastAsia"/>
          <w:color w:val="auto"/>
          <w:sz w:val="24"/>
          <w:szCs w:val="24"/>
        </w:rPr>
        <w:t>4.3 在</w:t>
      </w:r>
      <w:r>
        <w:rPr>
          <w:color w:val="auto"/>
          <w:sz w:val="24"/>
          <w:szCs w:val="24"/>
        </w:rPr>
        <w:t>响应文件提交截止时间</w:t>
      </w:r>
      <w:r>
        <w:rPr>
          <w:rFonts w:hint="eastAsia"/>
          <w:color w:val="auto"/>
          <w:sz w:val="24"/>
          <w:szCs w:val="24"/>
        </w:rPr>
        <w:t>至磋商文件中规定的磋商有效期满之间的这段时间内，供应商不得撤回其投标。</w:t>
      </w:r>
    </w:p>
    <w:p w14:paraId="50BBEDE3">
      <w:pPr>
        <w:pStyle w:val="5"/>
        <w:rPr>
          <w:color w:val="auto"/>
        </w:rPr>
      </w:pPr>
      <w:bookmarkStart w:id="55" w:name="_Toc18407"/>
      <w:bookmarkStart w:id="56" w:name="_Toc16232"/>
      <w:bookmarkStart w:id="57" w:name="_Toc7047"/>
      <w:bookmarkStart w:id="58" w:name="_Toc26958"/>
      <w:r>
        <w:rPr>
          <w:color w:val="auto"/>
        </w:rPr>
        <w:t>五、磋商与评审</w:t>
      </w:r>
      <w:bookmarkEnd w:id="55"/>
      <w:bookmarkEnd w:id="56"/>
      <w:bookmarkEnd w:id="57"/>
      <w:bookmarkEnd w:id="58"/>
    </w:p>
    <w:p w14:paraId="54A20B29">
      <w:pPr>
        <w:spacing w:line="440" w:lineRule="exact"/>
        <w:rPr>
          <w:b/>
          <w:color w:val="auto"/>
          <w:sz w:val="24"/>
          <w:szCs w:val="24"/>
        </w:rPr>
      </w:pPr>
      <w:r>
        <w:rPr>
          <w:rFonts w:hint="eastAsia"/>
          <w:b/>
          <w:color w:val="auto"/>
          <w:sz w:val="24"/>
          <w:szCs w:val="24"/>
        </w:rPr>
        <w:t>1</w:t>
      </w:r>
      <w:r>
        <w:rPr>
          <w:b/>
          <w:color w:val="auto"/>
          <w:sz w:val="24"/>
          <w:szCs w:val="24"/>
        </w:rPr>
        <w:t>、磋商</w:t>
      </w:r>
      <w:r>
        <w:rPr>
          <w:rFonts w:hint="eastAsia"/>
          <w:b/>
          <w:color w:val="auto"/>
          <w:sz w:val="24"/>
          <w:szCs w:val="24"/>
        </w:rPr>
        <w:t>供应商</w:t>
      </w:r>
    </w:p>
    <w:p w14:paraId="6792FABC">
      <w:pPr>
        <w:spacing w:line="440" w:lineRule="exact"/>
        <w:ind w:firstLine="360"/>
        <w:rPr>
          <w:color w:val="auto"/>
          <w:sz w:val="24"/>
          <w:szCs w:val="24"/>
        </w:rPr>
      </w:pPr>
      <w:r>
        <w:rPr>
          <w:rFonts w:hint="eastAsia"/>
          <w:color w:val="auto"/>
          <w:sz w:val="24"/>
          <w:szCs w:val="24"/>
        </w:rPr>
        <w:t xml:space="preserve">1.1 </w:t>
      </w:r>
      <w:r>
        <w:rPr>
          <w:color w:val="auto"/>
          <w:sz w:val="24"/>
          <w:szCs w:val="24"/>
        </w:rPr>
        <w:t>采购代理机构按本须知规定的时间、地点主持磋商采购活动。</w:t>
      </w:r>
    </w:p>
    <w:p w14:paraId="0CA9EC25">
      <w:pPr>
        <w:spacing w:line="440" w:lineRule="exact"/>
        <w:ind w:firstLine="360"/>
        <w:rPr>
          <w:color w:val="auto"/>
          <w:sz w:val="24"/>
          <w:szCs w:val="24"/>
        </w:rPr>
      </w:pPr>
      <w:r>
        <w:rPr>
          <w:rFonts w:hint="eastAsia"/>
          <w:color w:val="auto"/>
          <w:sz w:val="24"/>
          <w:szCs w:val="24"/>
        </w:rPr>
        <w:t>1.2 供应商应当按照《苏采云系统供应商操作手册》规定，参加开标活动和在苏采云系统规定的时间内对响应文件进行解密</w:t>
      </w:r>
      <w:r>
        <w:rPr>
          <w:color w:val="auto"/>
          <w:sz w:val="24"/>
          <w:szCs w:val="24"/>
        </w:rPr>
        <w:t>。</w:t>
      </w:r>
    </w:p>
    <w:p w14:paraId="6DD505DB">
      <w:pPr>
        <w:spacing w:line="440" w:lineRule="exact"/>
        <w:ind w:firstLine="360"/>
        <w:rPr>
          <w:color w:val="auto"/>
          <w:sz w:val="24"/>
          <w:szCs w:val="24"/>
        </w:rPr>
      </w:pPr>
      <w:r>
        <w:rPr>
          <w:rFonts w:hint="eastAsia"/>
          <w:color w:val="auto"/>
          <w:sz w:val="24"/>
          <w:szCs w:val="24"/>
        </w:rPr>
        <w:t xml:space="preserve">1.3 </w:t>
      </w:r>
      <w:r>
        <w:rPr>
          <w:color w:val="auto"/>
          <w:sz w:val="24"/>
          <w:szCs w:val="24"/>
        </w:rPr>
        <w:t>成功解密的磋商供应商少于三家</w:t>
      </w:r>
      <w:r>
        <w:rPr>
          <w:rFonts w:hint="eastAsia"/>
          <w:color w:val="auto"/>
          <w:sz w:val="24"/>
          <w:szCs w:val="24"/>
        </w:rPr>
        <w:t>的</w:t>
      </w:r>
      <w:r>
        <w:rPr>
          <w:color w:val="auto"/>
          <w:sz w:val="24"/>
          <w:szCs w:val="24"/>
        </w:rPr>
        <w:t>，则本次采购失败。</w:t>
      </w:r>
    </w:p>
    <w:p w14:paraId="204E882A">
      <w:pPr>
        <w:spacing w:line="440" w:lineRule="exact"/>
        <w:rPr>
          <w:b/>
          <w:color w:val="auto"/>
          <w:sz w:val="24"/>
          <w:szCs w:val="24"/>
        </w:rPr>
      </w:pPr>
      <w:r>
        <w:rPr>
          <w:b/>
          <w:color w:val="auto"/>
          <w:sz w:val="24"/>
          <w:szCs w:val="24"/>
        </w:rPr>
        <w:t>2、磋商小组</w:t>
      </w:r>
    </w:p>
    <w:p w14:paraId="7FCA726B">
      <w:pPr>
        <w:spacing w:line="440" w:lineRule="exact"/>
        <w:ind w:firstLine="360"/>
        <w:rPr>
          <w:color w:val="auto"/>
          <w:sz w:val="24"/>
          <w:szCs w:val="24"/>
        </w:rPr>
      </w:pPr>
      <w:r>
        <w:rPr>
          <w:color w:val="auto"/>
          <w:sz w:val="24"/>
          <w:szCs w:val="24"/>
        </w:rPr>
        <w:t>2.1 代理机构依法组建磋商小组与供应商就采购具体事宜分别进行磋商。</w:t>
      </w:r>
    </w:p>
    <w:p w14:paraId="149477CC">
      <w:pPr>
        <w:spacing w:line="440" w:lineRule="exact"/>
        <w:ind w:firstLine="360"/>
        <w:rPr>
          <w:color w:val="auto"/>
          <w:sz w:val="24"/>
          <w:szCs w:val="24"/>
        </w:rPr>
      </w:pPr>
      <w:r>
        <w:rPr>
          <w:color w:val="auto"/>
          <w:sz w:val="24"/>
          <w:szCs w:val="24"/>
        </w:rPr>
        <w:t>2.2 磋商小组由采购人代表和评审专家共三人</w:t>
      </w:r>
      <w:r>
        <w:rPr>
          <w:rFonts w:hint="eastAsia"/>
          <w:color w:val="auto"/>
          <w:sz w:val="24"/>
          <w:szCs w:val="24"/>
        </w:rPr>
        <w:t>或</w:t>
      </w:r>
      <w:r>
        <w:rPr>
          <w:color w:val="auto"/>
          <w:sz w:val="24"/>
          <w:szCs w:val="24"/>
        </w:rPr>
        <w:t>以上单数组成。</w:t>
      </w:r>
    </w:p>
    <w:p w14:paraId="1EC48994">
      <w:pPr>
        <w:spacing w:line="440" w:lineRule="exact"/>
        <w:ind w:firstLine="360"/>
        <w:rPr>
          <w:color w:val="auto"/>
          <w:sz w:val="24"/>
          <w:szCs w:val="24"/>
        </w:rPr>
      </w:pPr>
      <w:r>
        <w:rPr>
          <w:color w:val="auto"/>
          <w:sz w:val="24"/>
          <w:szCs w:val="24"/>
        </w:rPr>
        <w:t>2.3 磋商小组负责对响应文件的有效性、完整性和响应程度进行审查，对提交最后报价的供应商的响应文件和最后报价进行综合评分，并推荐成交候选</w:t>
      </w:r>
      <w:r>
        <w:rPr>
          <w:rFonts w:hint="eastAsia"/>
          <w:color w:val="auto"/>
          <w:sz w:val="24"/>
          <w:szCs w:val="24"/>
        </w:rPr>
        <w:t>人</w:t>
      </w:r>
      <w:r>
        <w:rPr>
          <w:color w:val="auto"/>
          <w:sz w:val="24"/>
          <w:szCs w:val="24"/>
        </w:rPr>
        <w:t>。</w:t>
      </w:r>
    </w:p>
    <w:p w14:paraId="74DEBCA4">
      <w:pPr>
        <w:spacing w:line="440" w:lineRule="exact"/>
        <w:ind w:firstLine="360"/>
        <w:rPr>
          <w:color w:val="auto"/>
          <w:sz w:val="24"/>
          <w:szCs w:val="24"/>
        </w:rPr>
      </w:pPr>
      <w:r>
        <w:rPr>
          <w:color w:val="auto"/>
          <w:sz w:val="24"/>
          <w:szCs w:val="24"/>
        </w:rPr>
        <w:t>2.4 磋商小组将对供应商的商业、技术秘密等予以保密</w:t>
      </w:r>
      <w:r>
        <w:rPr>
          <w:color w:val="auto"/>
          <w:sz w:val="24"/>
        </w:rPr>
        <w:t>。</w:t>
      </w:r>
    </w:p>
    <w:p w14:paraId="1FF7E387">
      <w:pPr>
        <w:spacing w:line="440" w:lineRule="exact"/>
        <w:rPr>
          <w:b/>
          <w:color w:val="auto"/>
          <w:sz w:val="24"/>
          <w:szCs w:val="24"/>
        </w:rPr>
      </w:pPr>
      <w:r>
        <w:rPr>
          <w:rFonts w:hint="eastAsia"/>
          <w:b/>
          <w:color w:val="auto"/>
          <w:sz w:val="24"/>
          <w:szCs w:val="24"/>
        </w:rPr>
        <w:t>3、对响应文件的审查</w:t>
      </w:r>
    </w:p>
    <w:p w14:paraId="03E086F1">
      <w:pPr>
        <w:spacing w:line="440" w:lineRule="exact"/>
        <w:ind w:firstLine="360"/>
        <w:rPr>
          <w:color w:val="auto"/>
          <w:sz w:val="24"/>
          <w:szCs w:val="24"/>
        </w:rPr>
      </w:pPr>
      <w:r>
        <w:rPr>
          <w:rFonts w:hint="eastAsia"/>
          <w:color w:val="auto"/>
          <w:sz w:val="24"/>
          <w:szCs w:val="24"/>
        </w:rPr>
        <w:t>3.1 响应文件审查分为资格审查和符合性审查。</w:t>
      </w:r>
    </w:p>
    <w:p w14:paraId="57A5774F">
      <w:pPr>
        <w:spacing w:line="440" w:lineRule="exact"/>
        <w:ind w:firstLine="600"/>
        <w:rPr>
          <w:color w:val="auto"/>
          <w:sz w:val="24"/>
          <w:szCs w:val="24"/>
        </w:rPr>
      </w:pPr>
      <w:r>
        <w:rPr>
          <w:rFonts w:hint="eastAsia"/>
          <w:color w:val="auto"/>
          <w:sz w:val="24"/>
          <w:szCs w:val="24"/>
        </w:rPr>
        <w:t>3.1.1 资格审查：依据法律法规和磋商文件的规定，由</w:t>
      </w:r>
      <w:r>
        <w:rPr>
          <w:color w:val="auto"/>
          <w:sz w:val="24"/>
          <w:szCs w:val="24"/>
        </w:rPr>
        <w:t>磋商小组</w:t>
      </w:r>
      <w:r>
        <w:rPr>
          <w:rFonts w:hint="eastAsia"/>
          <w:color w:val="auto"/>
          <w:sz w:val="24"/>
          <w:szCs w:val="24"/>
        </w:rPr>
        <w:t>对响应文件中的资格证明文件进行审查。</w:t>
      </w:r>
      <w:r>
        <w:rPr>
          <w:color w:val="auto"/>
          <w:sz w:val="24"/>
          <w:szCs w:val="24"/>
        </w:rPr>
        <w:t>以确定供应商是否具备参加磋商的资格</w:t>
      </w:r>
      <w:r>
        <w:rPr>
          <w:rFonts w:hint="eastAsia"/>
          <w:color w:val="auto"/>
          <w:sz w:val="24"/>
          <w:szCs w:val="24"/>
        </w:rPr>
        <w:t>。</w:t>
      </w:r>
    </w:p>
    <w:p w14:paraId="01DEEE8A">
      <w:pPr>
        <w:spacing w:line="440" w:lineRule="exact"/>
        <w:ind w:firstLine="600"/>
        <w:rPr>
          <w:color w:val="auto"/>
          <w:sz w:val="24"/>
          <w:szCs w:val="24"/>
        </w:rPr>
      </w:pPr>
      <w:r>
        <w:rPr>
          <w:color w:val="auto"/>
          <w:sz w:val="24"/>
          <w:szCs w:val="24"/>
        </w:rPr>
        <w:t>磋商小组</w:t>
      </w:r>
      <w:r>
        <w:rPr>
          <w:rFonts w:hint="eastAsia"/>
          <w:color w:val="auto"/>
          <w:sz w:val="24"/>
          <w:szCs w:val="24"/>
        </w:rPr>
        <w:t>在进行资格性审查的同时，将在中国政府采购网、信用中国网站、信用江苏网站、信用中国（江苏苏州）</w:t>
      </w:r>
      <w:r>
        <w:rPr>
          <w:color w:val="auto"/>
          <w:sz w:val="24"/>
          <w:szCs w:val="24"/>
        </w:rPr>
        <w:t>网站</w:t>
      </w:r>
      <w:r>
        <w:rPr>
          <w:rFonts w:hint="eastAsia"/>
          <w:color w:val="auto"/>
          <w:sz w:val="24"/>
          <w:szCs w:val="24"/>
        </w:rPr>
        <w:t>查询供应商的信用记录，以确定供应商是否具备磋商资格，查询结果留存并归档。</w:t>
      </w:r>
    </w:p>
    <w:p w14:paraId="6071D9A1">
      <w:pPr>
        <w:spacing w:line="440" w:lineRule="exact"/>
        <w:ind w:firstLine="600"/>
        <w:rPr>
          <w:color w:val="auto"/>
          <w:sz w:val="24"/>
          <w:szCs w:val="24"/>
        </w:rPr>
      </w:pPr>
      <w:r>
        <w:rPr>
          <w:rFonts w:hint="eastAsia"/>
          <w:color w:val="auto"/>
          <w:sz w:val="24"/>
          <w:szCs w:val="24"/>
        </w:rPr>
        <w:t>3.1.2 符合性审查：依据磋商文件的规定，由</w:t>
      </w:r>
      <w:r>
        <w:rPr>
          <w:color w:val="auto"/>
          <w:sz w:val="24"/>
          <w:szCs w:val="24"/>
        </w:rPr>
        <w:t>磋商小组</w:t>
      </w:r>
      <w:r>
        <w:rPr>
          <w:rFonts w:hint="eastAsia"/>
          <w:color w:val="auto"/>
          <w:sz w:val="24"/>
          <w:szCs w:val="24"/>
        </w:rPr>
        <w:t>从响应文件的有效性、完整性和对磋商文件的响应程度进行审查，以确定是否对磋商文件的实质性要求作出响应。</w:t>
      </w:r>
    </w:p>
    <w:p w14:paraId="0AB6E9DC">
      <w:pPr>
        <w:spacing w:line="440" w:lineRule="exact"/>
        <w:ind w:firstLine="600"/>
        <w:rPr>
          <w:color w:val="auto"/>
          <w:sz w:val="24"/>
          <w:szCs w:val="24"/>
        </w:rPr>
      </w:pPr>
      <w:r>
        <w:rPr>
          <w:rFonts w:hint="eastAsia"/>
          <w:color w:val="auto"/>
          <w:sz w:val="24"/>
          <w:szCs w:val="24"/>
        </w:rPr>
        <w:t>3.1.3 未通过资格审查或符合性审查的供应商，代理机构将在苏采云系统中告知未通过资格审查或符合性审查的原因，评审结束后，代理机构将不再告知未通过资格审查或符合性审查的原因。</w:t>
      </w:r>
    </w:p>
    <w:p w14:paraId="26364469">
      <w:pPr>
        <w:spacing w:line="440" w:lineRule="exact"/>
        <w:ind w:firstLine="360"/>
        <w:rPr>
          <w:color w:val="auto"/>
          <w:sz w:val="24"/>
          <w:szCs w:val="24"/>
        </w:rPr>
      </w:pPr>
      <w:r>
        <w:rPr>
          <w:rFonts w:hint="eastAsia"/>
          <w:color w:val="auto"/>
          <w:sz w:val="24"/>
          <w:szCs w:val="24"/>
        </w:rPr>
        <w:t>3.2 在详细评标之前，</w:t>
      </w:r>
      <w:r>
        <w:rPr>
          <w:color w:val="auto"/>
          <w:sz w:val="24"/>
          <w:szCs w:val="24"/>
        </w:rPr>
        <w:t>磋商小组</w:t>
      </w:r>
      <w:r>
        <w:rPr>
          <w:rFonts w:hint="eastAsia"/>
          <w:color w:val="auto"/>
          <w:sz w:val="24"/>
          <w:szCs w:val="24"/>
        </w:rPr>
        <w:t>将首先审查每份响应文件是否实质性响应了磋商文件的要求。实质性响应的投标应该是与磋商文件要求的全部条款、条件和规格相符，没有重大偏离或保留的投标。</w:t>
      </w:r>
    </w:p>
    <w:p w14:paraId="0AEB3F6C">
      <w:pPr>
        <w:spacing w:line="440" w:lineRule="exact"/>
        <w:ind w:firstLine="360"/>
        <w:rPr>
          <w:color w:val="auto"/>
          <w:sz w:val="24"/>
          <w:szCs w:val="24"/>
        </w:rPr>
      </w:pPr>
      <w:r>
        <w:rPr>
          <w:rFonts w:hint="eastAsia"/>
          <w:color w:val="auto"/>
          <w:sz w:val="24"/>
          <w:szCs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需经过</w:t>
      </w:r>
      <w:r>
        <w:rPr>
          <w:color w:val="auto"/>
          <w:sz w:val="24"/>
          <w:szCs w:val="24"/>
        </w:rPr>
        <w:t>磋商小组</w:t>
      </w:r>
      <w:r>
        <w:rPr>
          <w:rFonts w:hint="eastAsia"/>
          <w:color w:val="auto"/>
          <w:sz w:val="24"/>
          <w:szCs w:val="24"/>
        </w:rPr>
        <w:t>以少数服从多数的原则作出结论。评委决定响应文件的响应性只根据响应文件本身的内容，而不寻求外部的证据。</w:t>
      </w:r>
    </w:p>
    <w:p w14:paraId="7DECCC73">
      <w:pPr>
        <w:spacing w:line="440" w:lineRule="exact"/>
        <w:ind w:firstLine="360"/>
        <w:rPr>
          <w:color w:val="auto"/>
          <w:sz w:val="24"/>
          <w:szCs w:val="24"/>
        </w:rPr>
      </w:pPr>
      <w:r>
        <w:rPr>
          <w:rFonts w:hint="eastAsia"/>
          <w:color w:val="auto"/>
          <w:sz w:val="24"/>
          <w:szCs w:val="24"/>
        </w:rPr>
        <w:t>3.3 如果响应文件实质上没有响应磋商文件的要求，</w:t>
      </w:r>
      <w:r>
        <w:rPr>
          <w:color w:val="auto"/>
          <w:sz w:val="24"/>
          <w:szCs w:val="24"/>
        </w:rPr>
        <w:t>磋商小组</w:t>
      </w:r>
      <w:r>
        <w:rPr>
          <w:rFonts w:hint="eastAsia"/>
          <w:color w:val="auto"/>
          <w:sz w:val="24"/>
          <w:szCs w:val="24"/>
        </w:rPr>
        <w:t>将予以拒绝，供应商不得通过修改或撤销不合要求的偏离或保留而使其投标成为实质性响应的投标。</w:t>
      </w:r>
    </w:p>
    <w:p w14:paraId="006C5D27">
      <w:pPr>
        <w:spacing w:line="440" w:lineRule="exact"/>
        <w:ind w:firstLine="360"/>
        <w:rPr>
          <w:color w:val="auto"/>
          <w:sz w:val="24"/>
          <w:szCs w:val="24"/>
        </w:rPr>
      </w:pPr>
      <w:r>
        <w:rPr>
          <w:rFonts w:hint="eastAsia"/>
          <w:color w:val="auto"/>
          <w:sz w:val="24"/>
          <w:szCs w:val="24"/>
        </w:rPr>
        <w:t xml:space="preserve">3.4 </w:t>
      </w:r>
      <w:r>
        <w:rPr>
          <w:color w:val="auto"/>
          <w:sz w:val="24"/>
          <w:szCs w:val="24"/>
        </w:rPr>
        <w:t>磋商小组</w:t>
      </w:r>
      <w:r>
        <w:rPr>
          <w:rFonts w:hint="eastAsia"/>
          <w:color w:val="auto"/>
          <w:sz w:val="24"/>
          <w:szCs w:val="24"/>
        </w:rPr>
        <w:t>将对确定为实质性响应的投标进行进一步审核</w:t>
      </w:r>
      <w:r>
        <w:rPr>
          <w:color w:val="auto"/>
          <w:sz w:val="24"/>
        </w:rPr>
        <w:t>，</w:t>
      </w:r>
      <w:r>
        <w:rPr>
          <w:rFonts w:hint="eastAsia"/>
          <w:color w:val="auto"/>
          <w:sz w:val="24"/>
          <w:szCs w:val="24"/>
        </w:rPr>
        <w:t>看其是否有计算上或累加上的算术错误，修正错误的原则如下</w:t>
      </w:r>
      <w:r>
        <w:rPr>
          <w:rFonts w:hint="eastAsia"/>
          <w:color w:val="auto"/>
          <w:sz w:val="24"/>
        </w:rPr>
        <w:t>：</w:t>
      </w:r>
    </w:p>
    <w:p w14:paraId="583E60EE">
      <w:pPr>
        <w:spacing w:line="440" w:lineRule="exact"/>
        <w:ind w:firstLine="360"/>
        <w:rPr>
          <w:color w:val="auto"/>
          <w:sz w:val="24"/>
          <w:szCs w:val="24"/>
        </w:rPr>
      </w:pPr>
      <w:r>
        <w:rPr>
          <w:rFonts w:hint="eastAsia"/>
          <w:color w:val="auto"/>
          <w:sz w:val="24"/>
          <w:szCs w:val="24"/>
        </w:rPr>
        <w:t>（1）</w:t>
      </w:r>
      <w:r>
        <w:rPr>
          <w:rFonts w:hint="eastAsia"/>
          <w:bCs/>
          <w:color w:val="auto"/>
          <w:sz w:val="24"/>
          <w:szCs w:val="21"/>
        </w:rPr>
        <w:t>响应</w:t>
      </w:r>
      <w:r>
        <w:rPr>
          <w:rFonts w:hint="eastAsia"/>
          <w:color w:val="auto"/>
          <w:sz w:val="24"/>
          <w:szCs w:val="24"/>
        </w:rPr>
        <w:t>文件中报价一览表内容与</w:t>
      </w:r>
      <w:r>
        <w:rPr>
          <w:rFonts w:hint="eastAsia"/>
          <w:bCs/>
          <w:color w:val="auto"/>
          <w:sz w:val="24"/>
          <w:szCs w:val="21"/>
        </w:rPr>
        <w:t>响应</w:t>
      </w:r>
      <w:r>
        <w:rPr>
          <w:rFonts w:hint="eastAsia"/>
          <w:color w:val="auto"/>
          <w:sz w:val="24"/>
          <w:szCs w:val="24"/>
        </w:rPr>
        <w:t>文件中相应内容不一致的，以报价一览表为准。</w:t>
      </w:r>
    </w:p>
    <w:p w14:paraId="6C197A67">
      <w:pPr>
        <w:spacing w:line="440" w:lineRule="exact"/>
        <w:ind w:firstLine="360"/>
        <w:rPr>
          <w:color w:val="auto"/>
          <w:sz w:val="24"/>
          <w:szCs w:val="24"/>
        </w:rPr>
      </w:pPr>
      <w:r>
        <w:rPr>
          <w:rFonts w:hint="eastAsia"/>
          <w:color w:val="auto"/>
          <w:sz w:val="24"/>
          <w:szCs w:val="24"/>
        </w:rPr>
        <w:t>（2）大写金额和小写金额不一致的，以大写金额为准。</w:t>
      </w:r>
    </w:p>
    <w:p w14:paraId="2879B4F6">
      <w:pPr>
        <w:spacing w:line="440" w:lineRule="exact"/>
        <w:ind w:firstLine="360"/>
        <w:rPr>
          <w:color w:val="auto"/>
          <w:sz w:val="24"/>
          <w:szCs w:val="24"/>
        </w:rPr>
      </w:pPr>
      <w:r>
        <w:rPr>
          <w:rFonts w:hint="eastAsia"/>
          <w:color w:val="auto"/>
          <w:sz w:val="24"/>
          <w:szCs w:val="24"/>
        </w:rPr>
        <w:t>（3）单价金额小数点或者百分比有明显错位的，以报价一览表的总价为准，并修改单价。</w:t>
      </w:r>
    </w:p>
    <w:p w14:paraId="601FF870">
      <w:pPr>
        <w:spacing w:line="440" w:lineRule="exact"/>
        <w:ind w:firstLine="360"/>
        <w:rPr>
          <w:color w:val="auto"/>
          <w:sz w:val="24"/>
          <w:szCs w:val="24"/>
        </w:rPr>
      </w:pPr>
      <w:r>
        <w:rPr>
          <w:rFonts w:hint="eastAsia"/>
          <w:color w:val="auto"/>
          <w:sz w:val="24"/>
          <w:szCs w:val="24"/>
        </w:rPr>
        <w:t>（4）总价金额与按单价汇总金额不一致的，以单价金额计算结果为准。</w:t>
      </w:r>
    </w:p>
    <w:p w14:paraId="458ACDEF">
      <w:pPr>
        <w:spacing w:line="440" w:lineRule="exact"/>
        <w:ind w:firstLine="360"/>
        <w:rPr>
          <w:color w:val="auto"/>
          <w:sz w:val="24"/>
          <w:szCs w:val="24"/>
        </w:rPr>
      </w:pPr>
      <w:r>
        <w:rPr>
          <w:color w:val="auto"/>
          <w:sz w:val="24"/>
          <w:szCs w:val="24"/>
        </w:rPr>
        <w:t>（</w:t>
      </w:r>
      <w:r>
        <w:rPr>
          <w:rFonts w:hint="eastAsia"/>
          <w:color w:val="auto"/>
          <w:sz w:val="24"/>
          <w:szCs w:val="24"/>
        </w:rPr>
        <w:t>5</w:t>
      </w:r>
      <w:r>
        <w:rPr>
          <w:color w:val="auto"/>
          <w:sz w:val="24"/>
          <w:szCs w:val="24"/>
        </w:rPr>
        <w:t>）对不同文字文本</w:t>
      </w:r>
      <w:r>
        <w:rPr>
          <w:rFonts w:hint="eastAsia"/>
          <w:bCs/>
          <w:color w:val="auto"/>
          <w:sz w:val="24"/>
          <w:szCs w:val="21"/>
        </w:rPr>
        <w:t>响应</w:t>
      </w:r>
      <w:r>
        <w:rPr>
          <w:color w:val="auto"/>
          <w:sz w:val="24"/>
          <w:szCs w:val="24"/>
        </w:rPr>
        <w:t>文件的解释发生异议的，以中文文本为准</w:t>
      </w:r>
      <w:r>
        <w:rPr>
          <w:rFonts w:hint="eastAsia"/>
          <w:color w:val="auto"/>
          <w:sz w:val="24"/>
          <w:szCs w:val="24"/>
        </w:rPr>
        <w:t>。</w:t>
      </w:r>
    </w:p>
    <w:p w14:paraId="790B1D37">
      <w:pPr>
        <w:spacing w:line="440" w:lineRule="exact"/>
        <w:ind w:firstLine="600"/>
        <w:rPr>
          <w:color w:val="auto"/>
          <w:sz w:val="24"/>
          <w:szCs w:val="24"/>
        </w:rPr>
      </w:pPr>
      <w:r>
        <w:rPr>
          <w:rFonts w:hint="eastAsia"/>
          <w:color w:val="auto"/>
          <w:sz w:val="24"/>
          <w:szCs w:val="24"/>
        </w:rPr>
        <w:t>同时出现两种以上错误的，按照前款规定的顺序修正。</w:t>
      </w:r>
    </w:p>
    <w:p w14:paraId="3A6CCD8D">
      <w:pPr>
        <w:spacing w:line="440" w:lineRule="exact"/>
        <w:ind w:firstLine="360"/>
        <w:rPr>
          <w:color w:val="auto"/>
          <w:sz w:val="24"/>
        </w:rPr>
      </w:pPr>
      <w:r>
        <w:rPr>
          <w:rFonts w:hint="eastAsia"/>
          <w:color w:val="auto"/>
          <w:sz w:val="24"/>
        </w:rPr>
        <w:t>（6）如供应商属于小微企业，中小企业价格按照价格计算，如价格因故予以纠正，中小企业价格采用纠正后的价格。</w:t>
      </w:r>
    </w:p>
    <w:p w14:paraId="7B167CC0">
      <w:pPr>
        <w:spacing w:line="440" w:lineRule="exact"/>
        <w:ind w:firstLine="360"/>
        <w:rPr>
          <w:color w:val="auto"/>
          <w:sz w:val="24"/>
          <w:szCs w:val="24"/>
        </w:rPr>
      </w:pPr>
      <w:r>
        <w:rPr>
          <w:rFonts w:hint="eastAsia"/>
          <w:color w:val="auto"/>
          <w:sz w:val="24"/>
          <w:szCs w:val="24"/>
        </w:rPr>
        <w:t xml:space="preserve">3.5 </w:t>
      </w:r>
      <w:r>
        <w:rPr>
          <w:color w:val="auto"/>
          <w:sz w:val="24"/>
          <w:szCs w:val="24"/>
        </w:rPr>
        <w:t>磋商小组</w:t>
      </w:r>
      <w:r>
        <w:rPr>
          <w:rFonts w:hint="eastAsia"/>
          <w:color w:val="auto"/>
          <w:sz w:val="24"/>
          <w:szCs w:val="24"/>
        </w:rPr>
        <w:t>将按上述修正错误的方法调整响应文件中的总报价，并通过苏采云系统告知供应商，调整后的价格应对供应商具有约束力。如果供应商不接受修正后的价格，则其投标将被拒绝。</w:t>
      </w:r>
    </w:p>
    <w:p w14:paraId="28BCCC7C">
      <w:pPr>
        <w:spacing w:line="440" w:lineRule="exact"/>
        <w:ind w:firstLine="360"/>
        <w:rPr>
          <w:color w:val="auto"/>
          <w:sz w:val="24"/>
          <w:szCs w:val="24"/>
        </w:rPr>
      </w:pPr>
      <w:r>
        <w:rPr>
          <w:rFonts w:hint="eastAsia"/>
          <w:color w:val="auto"/>
          <w:sz w:val="24"/>
          <w:szCs w:val="24"/>
        </w:rPr>
        <w:t>3.6 采用综合评分法的采购项目，</w:t>
      </w:r>
      <w:r>
        <w:rPr>
          <w:color w:val="auto"/>
          <w:sz w:val="24"/>
          <w:szCs w:val="24"/>
        </w:rPr>
        <w:t>磋商小组将采用综合评分法对提交最后报价的供应商的响应文件和最后报价进行综合评分</w:t>
      </w:r>
      <w:r>
        <w:rPr>
          <w:color w:val="auto"/>
          <w:sz w:val="24"/>
        </w:rPr>
        <w:t>。评标结果按</w:t>
      </w:r>
      <w:r>
        <w:rPr>
          <w:color w:val="auto"/>
          <w:sz w:val="24"/>
          <w:szCs w:val="24"/>
        </w:rPr>
        <w:t>评审后得分由高到低顺序排列。得分相同的，按最后报价由低到高顺序排列。得分且最后报价相同的，</w:t>
      </w:r>
      <w:r>
        <w:rPr>
          <w:color w:val="auto"/>
          <w:sz w:val="24"/>
          <w:szCs w:val="21"/>
        </w:rPr>
        <w:t>由</w:t>
      </w:r>
      <w:r>
        <w:rPr>
          <w:color w:val="auto"/>
          <w:sz w:val="24"/>
          <w:szCs w:val="24"/>
        </w:rPr>
        <w:t>磋商小组</w:t>
      </w:r>
      <w:r>
        <w:rPr>
          <w:rFonts w:hint="eastAsia"/>
          <w:color w:val="auto"/>
          <w:sz w:val="24"/>
          <w:szCs w:val="21"/>
        </w:rPr>
        <w:t>根据磋商文件规定的方式（磋商文件未规定的采取随机抽取的方式）</w:t>
      </w:r>
      <w:r>
        <w:rPr>
          <w:color w:val="auto"/>
          <w:sz w:val="24"/>
          <w:szCs w:val="21"/>
        </w:rPr>
        <w:t>确定</w:t>
      </w:r>
      <w:r>
        <w:rPr>
          <w:rFonts w:hint="eastAsia"/>
          <w:color w:val="auto"/>
          <w:sz w:val="24"/>
          <w:szCs w:val="21"/>
        </w:rPr>
        <w:t>成交候选人</w:t>
      </w:r>
      <w:r>
        <w:rPr>
          <w:color w:val="auto"/>
          <w:sz w:val="24"/>
          <w:szCs w:val="21"/>
        </w:rPr>
        <w:t>。</w:t>
      </w:r>
    </w:p>
    <w:p w14:paraId="6DFD78E7">
      <w:pPr>
        <w:spacing w:line="440" w:lineRule="exact"/>
        <w:ind w:firstLine="360"/>
        <w:rPr>
          <w:color w:val="auto"/>
          <w:sz w:val="24"/>
          <w:szCs w:val="24"/>
        </w:rPr>
      </w:pPr>
      <w:r>
        <w:rPr>
          <w:rFonts w:hint="eastAsia"/>
          <w:color w:val="auto"/>
          <w:sz w:val="24"/>
          <w:szCs w:val="24"/>
        </w:rPr>
        <w:t>3.7 供应商在开、评标全过程中应保持通讯畅通，及时登录苏采云系统查阅、答复相关信息，并安排专人与代理机构及评委会联系。</w:t>
      </w:r>
    </w:p>
    <w:p w14:paraId="3014172D">
      <w:pPr>
        <w:spacing w:line="440" w:lineRule="exact"/>
        <w:rPr>
          <w:b/>
          <w:color w:val="auto"/>
          <w:sz w:val="24"/>
          <w:szCs w:val="24"/>
        </w:rPr>
      </w:pPr>
      <w:r>
        <w:rPr>
          <w:rFonts w:hint="eastAsia"/>
          <w:b/>
          <w:color w:val="auto"/>
          <w:sz w:val="24"/>
          <w:szCs w:val="24"/>
        </w:rPr>
        <w:t>4、磋商</w:t>
      </w:r>
      <w:r>
        <w:rPr>
          <w:b/>
          <w:color w:val="auto"/>
          <w:sz w:val="24"/>
          <w:szCs w:val="24"/>
        </w:rPr>
        <w:t>过程</w:t>
      </w:r>
      <w:r>
        <w:rPr>
          <w:rFonts w:hint="eastAsia"/>
          <w:b/>
          <w:color w:val="auto"/>
          <w:sz w:val="24"/>
          <w:szCs w:val="24"/>
        </w:rPr>
        <w:t>的保密与公正</w:t>
      </w:r>
    </w:p>
    <w:p w14:paraId="0DC9EA80">
      <w:pPr>
        <w:spacing w:line="440" w:lineRule="exact"/>
        <w:ind w:firstLine="360"/>
        <w:rPr>
          <w:color w:val="auto"/>
          <w:sz w:val="24"/>
          <w:szCs w:val="24"/>
        </w:rPr>
      </w:pPr>
      <w:r>
        <w:rPr>
          <w:rFonts w:hint="eastAsia"/>
          <w:color w:val="auto"/>
          <w:sz w:val="24"/>
          <w:szCs w:val="24"/>
        </w:rPr>
        <w:t>4.1 磋商开始</w:t>
      </w:r>
      <w:r>
        <w:rPr>
          <w:color w:val="auto"/>
          <w:sz w:val="24"/>
          <w:szCs w:val="24"/>
        </w:rPr>
        <w:t>后，直至</w:t>
      </w:r>
      <w:r>
        <w:rPr>
          <w:rFonts w:hint="eastAsia"/>
          <w:color w:val="auto"/>
          <w:sz w:val="24"/>
          <w:szCs w:val="24"/>
        </w:rPr>
        <w:t>确定成交供应商</w:t>
      </w:r>
      <w:r>
        <w:rPr>
          <w:color w:val="auto"/>
          <w:sz w:val="24"/>
          <w:szCs w:val="24"/>
        </w:rPr>
        <w:t>止，凡是与审查、</w:t>
      </w:r>
      <w:r>
        <w:rPr>
          <w:rFonts w:hint="eastAsia"/>
          <w:color w:val="auto"/>
          <w:sz w:val="24"/>
          <w:szCs w:val="24"/>
        </w:rPr>
        <w:t>磋商</w:t>
      </w:r>
      <w:r>
        <w:rPr>
          <w:color w:val="auto"/>
          <w:sz w:val="24"/>
          <w:szCs w:val="24"/>
        </w:rPr>
        <w:t>、比较和评价</w:t>
      </w:r>
      <w:r>
        <w:rPr>
          <w:rFonts w:hint="eastAsia"/>
          <w:color w:val="auto"/>
          <w:sz w:val="24"/>
          <w:szCs w:val="24"/>
        </w:rPr>
        <w:t>响应文件</w:t>
      </w:r>
      <w:r>
        <w:rPr>
          <w:color w:val="auto"/>
          <w:sz w:val="24"/>
          <w:szCs w:val="24"/>
        </w:rPr>
        <w:t>有关的资料以及授标建议等，</w:t>
      </w:r>
      <w:r>
        <w:rPr>
          <w:rFonts w:hint="eastAsia"/>
          <w:color w:val="auto"/>
          <w:sz w:val="24"/>
          <w:szCs w:val="24"/>
        </w:rPr>
        <w:t>采购人、评审专家、代理机构</w:t>
      </w:r>
      <w:r>
        <w:rPr>
          <w:color w:val="auto"/>
          <w:sz w:val="24"/>
          <w:szCs w:val="24"/>
        </w:rPr>
        <w:t>均不得向</w:t>
      </w:r>
      <w:r>
        <w:rPr>
          <w:rFonts w:hint="eastAsia"/>
          <w:color w:val="auto"/>
          <w:sz w:val="24"/>
          <w:szCs w:val="24"/>
        </w:rPr>
        <w:t>供应商或</w:t>
      </w:r>
      <w:r>
        <w:rPr>
          <w:color w:val="auto"/>
          <w:sz w:val="24"/>
          <w:szCs w:val="24"/>
        </w:rPr>
        <w:t>与</w:t>
      </w:r>
      <w:r>
        <w:rPr>
          <w:rFonts w:hint="eastAsia"/>
          <w:color w:val="auto"/>
          <w:sz w:val="24"/>
          <w:szCs w:val="24"/>
        </w:rPr>
        <w:t>评审</w:t>
      </w:r>
      <w:r>
        <w:rPr>
          <w:color w:val="auto"/>
          <w:sz w:val="24"/>
          <w:szCs w:val="24"/>
        </w:rPr>
        <w:t>无关的其他人员透露</w:t>
      </w:r>
      <w:r>
        <w:rPr>
          <w:rFonts w:hint="eastAsia"/>
          <w:color w:val="auto"/>
          <w:sz w:val="24"/>
          <w:szCs w:val="24"/>
        </w:rPr>
        <w:t>。</w:t>
      </w:r>
    </w:p>
    <w:p w14:paraId="1635D91D">
      <w:pPr>
        <w:spacing w:line="440" w:lineRule="exact"/>
        <w:ind w:firstLine="360"/>
        <w:rPr>
          <w:color w:val="auto"/>
          <w:sz w:val="24"/>
          <w:szCs w:val="24"/>
        </w:rPr>
      </w:pPr>
      <w:r>
        <w:rPr>
          <w:rFonts w:hint="eastAsia"/>
          <w:color w:val="auto"/>
          <w:sz w:val="24"/>
          <w:szCs w:val="24"/>
        </w:rPr>
        <w:t xml:space="preserve">4.2 </w:t>
      </w:r>
      <w:r>
        <w:rPr>
          <w:color w:val="auto"/>
          <w:sz w:val="24"/>
          <w:szCs w:val="24"/>
        </w:rPr>
        <w:t>在</w:t>
      </w:r>
      <w:r>
        <w:rPr>
          <w:rFonts w:hint="eastAsia"/>
          <w:color w:val="auto"/>
          <w:sz w:val="24"/>
          <w:szCs w:val="24"/>
        </w:rPr>
        <w:t>磋商</w:t>
      </w:r>
      <w:r>
        <w:rPr>
          <w:color w:val="auto"/>
          <w:sz w:val="24"/>
          <w:szCs w:val="24"/>
        </w:rPr>
        <w:t>过程中，如果</w:t>
      </w:r>
      <w:r>
        <w:rPr>
          <w:rFonts w:hint="eastAsia"/>
          <w:color w:val="auto"/>
          <w:sz w:val="24"/>
          <w:szCs w:val="24"/>
        </w:rPr>
        <w:t>供应商</w:t>
      </w:r>
      <w:r>
        <w:rPr>
          <w:color w:val="auto"/>
          <w:sz w:val="24"/>
          <w:szCs w:val="24"/>
        </w:rPr>
        <w:t>试图向代理机构和参与</w:t>
      </w:r>
      <w:r>
        <w:rPr>
          <w:rFonts w:hint="eastAsia"/>
          <w:color w:val="auto"/>
          <w:sz w:val="24"/>
          <w:szCs w:val="24"/>
        </w:rPr>
        <w:t>评审</w:t>
      </w:r>
      <w:r>
        <w:rPr>
          <w:color w:val="auto"/>
          <w:sz w:val="24"/>
          <w:szCs w:val="24"/>
        </w:rPr>
        <w:t>的人员施加任何影响，都将会导致其</w:t>
      </w:r>
      <w:r>
        <w:rPr>
          <w:rFonts w:hint="eastAsia"/>
          <w:color w:val="auto"/>
          <w:sz w:val="24"/>
          <w:szCs w:val="24"/>
        </w:rPr>
        <w:t>失去磋商资格</w:t>
      </w:r>
      <w:r>
        <w:rPr>
          <w:color w:val="auto"/>
          <w:sz w:val="24"/>
          <w:szCs w:val="24"/>
        </w:rPr>
        <w:t>。</w:t>
      </w:r>
    </w:p>
    <w:p w14:paraId="2AD6F23F">
      <w:pPr>
        <w:spacing w:line="440" w:lineRule="exact"/>
        <w:ind w:firstLine="360"/>
        <w:rPr>
          <w:color w:val="auto"/>
          <w:sz w:val="24"/>
          <w:szCs w:val="24"/>
        </w:rPr>
      </w:pPr>
      <w:r>
        <w:rPr>
          <w:rFonts w:hint="eastAsia"/>
          <w:color w:val="auto"/>
          <w:sz w:val="24"/>
          <w:szCs w:val="24"/>
        </w:rPr>
        <w:t>4.</w:t>
      </w:r>
      <w:r>
        <w:rPr>
          <w:color w:val="auto"/>
          <w:sz w:val="24"/>
          <w:szCs w:val="24"/>
        </w:rPr>
        <w:t>3</w:t>
      </w:r>
      <w:r>
        <w:rPr>
          <w:rFonts w:hint="eastAsia"/>
          <w:color w:val="auto"/>
          <w:sz w:val="24"/>
          <w:szCs w:val="24"/>
        </w:rPr>
        <w:t xml:space="preserve"> 代理机构和</w:t>
      </w:r>
      <w:r>
        <w:rPr>
          <w:color w:val="auto"/>
          <w:sz w:val="24"/>
          <w:szCs w:val="24"/>
        </w:rPr>
        <w:t>磋商小组</w:t>
      </w:r>
      <w:r>
        <w:rPr>
          <w:rFonts w:hint="eastAsia"/>
          <w:color w:val="auto"/>
          <w:sz w:val="24"/>
          <w:szCs w:val="24"/>
        </w:rPr>
        <w:t>不向未成交的供应商解释未成交原因，也不公布评审过程中的相关细节。</w:t>
      </w:r>
    </w:p>
    <w:p w14:paraId="13182405">
      <w:pPr>
        <w:spacing w:line="440" w:lineRule="exact"/>
        <w:ind w:firstLine="360"/>
        <w:rPr>
          <w:color w:val="auto"/>
          <w:sz w:val="24"/>
          <w:szCs w:val="24"/>
        </w:rPr>
      </w:pPr>
      <w:r>
        <w:rPr>
          <w:rFonts w:hint="eastAsia"/>
          <w:color w:val="auto"/>
          <w:sz w:val="24"/>
          <w:szCs w:val="24"/>
        </w:rPr>
        <w:t>4.4 采用综合评分法的项目，未成交的供应商可于成交结果公告期限届满之日起通过苏采云系统查看自己的评审得分及排序情况。</w:t>
      </w:r>
    </w:p>
    <w:p w14:paraId="202A9216">
      <w:pPr>
        <w:spacing w:line="440" w:lineRule="exact"/>
        <w:rPr>
          <w:b/>
          <w:color w:val="auto"/>
          <w:sz w:val="24"/>
          <w:szCs w:val="24"/>
        </w:rPr>
      </w:pPr>
      <w:r>
        <w:rPr>
          <w:rFonts w:hint="eastAsia"/>
          <w:b/>
          <w:color w:val="auto"/>
          <w:sz w:val="24"/>
          <w:szCs w:val="24"/>
        </w:rPr>
        <w:t>5、无效投标条款和废标条款</w:t>
      </w:r>
    </w:p>
    <w:p w14:paraId="1C33074C">
      <w:pPr>
        <w:spacing w:line="440" w:lineRule="exact"/>
        <w:ind w:firstLine="360"/>
        <w:rPr>
          <w:color w:val="auto"/>
          <w:sz w:val="24"/>
          <w:szCs w:val="24"/>
        </w:rPr>
      </w:pPr>
      <w:r>
        <w:rPr>
          <w:rFonts w:hint="eastAsia"/>
          <w:color w:val="auto"/>
          <w:sz w:val="24"/>
          <w:szCs w:val="24"/>
        </w:rPr>
        <w:t>5.1 无效投标条款</w:t>
      </w:r>
    </w:p>
    <w:p w14:paraId="6CABB603">
      <w:pPr>
        <w:spacing w:line="440" w:lineRule="exact"/>
        <w:ind w:firstLine="600"/>
        <w:rPr>
          <w:color w:val="auto"/>
          <w:sz w:val="24"/>
          <w:szCs w:val="24"/>
        </w:rPr>
      </w:pPr>
      <w:r>
        <w:rPr>
          <w:rFonts w:hint="eastAsia"/>
          <w:color w:val="auto"/>
          <w:sz w:val="24"/>
          <w:szCs w:val="24"/>
        </w:rPr>
        <w:t>5.1.1 供应商在苏采云系统规定的时间内未成功解密电子响应文件的。</w:t>
      </w:r>
    </w:p>
    <w:p w14:paraId="12729544">
      <w:pPr>
        <w:spacing w:line="440" w:lineRule="exact"/>
        <w:ind w:firstLine="600"/>
        <w:rPr>
          <w:color w:val="auto"/>
          <w:sz w:val="24"/>
          <w:szCs w:val="24"/>
        </w:rPr>
      </w:pPr>
      <w:r>
        <w:rPr>
          <w:rFonts w:hint="eastAsia"/>
          <w:color w:val="auto"/>
          <w:sz w:val="24"/>
          <w:szCs w:val="24"/>
        </w:rPr>
        <w:t>5.1.2 供应商未按照磋商文件要求上传电子响应文件的。</w:t>
      </w:r>
    </w:p>
    <w:p w14:paraId="50D51510">
      <w:pPr>
        <w:spacing w:line="440" w:lineRule="exact"/>
        <w:ind w:firstLine="600"/>
        <w:rPr>
          <w:color w:val="auto"/>
          <w:sz w:val="24"/>
          <w:szCs w:val="24"/>
        </w:rPr>
      </w:pPr>
      <w:r>
        <w:rPr>
          <w:rFonts w:hint="eastAsia"/>
          <w:color w:val="auto"/>
          <w:sz w:val="24"/>
          <w:szCs w:val="24"/>
        </w:rPr>
        <w:t>5.1.3 同一供应商提交两个（含两个）以上不同的报价的。</w:t>
      </w:r>
    </w:p>
    <w:p w14:paraId="1995EBF8">
      <w:pPr>
        <w:spacing w:line="440" w:lineRule="exact"/>
        <w:ind w:firstLine="600"/>
        <w:rPr>
          <w:color w:val="auto"/>
          <w:sz w:val="24"/>
          <w:szCs w:val="24"/>
        </w:rPr>
      </w:pPr>
      <w:r>
        <w:rPr>
          <w:rFonts w:hint="eastAsia"/>
          <w:color w:val="auto"/>
          <w:sz w:val="24"/>
          <w:szCs w:val="24"/>
        </w:rPr>
        <w:t>5.1.4 供应商</w:t>
      </w:r>
      <w:r>
        <w:rPr>
          <w:color w:val="auto"/>
          <w:sz w:val="24"/>
          <w:szCs w:val="24"/>
        </w:rPr>
        <w:t>不具备</w:t>
      </w:r>
      <w:r>
        <w:rPr>
          <w:rFonts w:hint="eastAsia"/>
          <w:color w:val="auto"/>
          <w:sz w:val="24"/>
          <w:szCs w:val="24"/>
        </w:rPr>
        <w:t>磋商</w:t>
      </w:r>
      <w:r>
        <w:rPr>
          <w:color w:val="auto"/>
          <w:sz w:val="24"/>
          <w:szCs w:val="24"/>
        </w:rPr>
        <w:t>文件中规定的资格要求的</w:t>
      </w:r>
      <w:r>
        <w:rPr>
          <w:rFonts w:hint="eastAsia"/>
          <w:color w:val="auto"/>
          <w:sz w:val="24"/>
          <w:szCs w:val="24"/>
        </w:rPr>
        <w:t>。</w:t>
      </w:r>
    </w:p>
    <w:p w14:paraId="278A44D0">
      <w:pPr>
        <w:spacing w:line="440" w:lineRule="exact"/>
        <w:ind w:firstLine="600"/>
        <w:rPr>
          <w:color w:val="auto"/>
          <w:sz w:val="24"/>
          <w:szCs w:val="24"/>
        </w:rPr>
      </w:pPr>
      <w:r>
        <w:rPr>
          <w:rFonts w:hint="eastAsia"/>
          <w:color w:val="auto"/>
          <w:sz w:val="24"/>
          <w:szCs w:val="24"/>
        </w:rPr>
        <w:t>5.1.5 供应商的报价超过了采购预算或最高限价的。</w:t>
      </w:r>
    </w:p>
    <w:p w14:paraId="7E7EB07B">
      <w:pPr>
        <w:spacing w:line="440" w:lineRule="exact"/>
        <w:ind w:firstLine="600"/>
        <w:rPr>
          <w:bCs/>
          <w:i/>
          <w:color w:val="auto"/>
          <w:sz w:val="24"/>
          <w:szCs w:val="21"/>
          <w:u w:val="single"/>
        </w:rPr>
      </w:pPr>
      <w:r>
        <w:rPr>
          <w:rFonts w:hint="eastAsia"/>
          <w:color w:val="auto"/>
          <w:sz w:val="24"/>
          <w:szCs w:val="24"/>
        </w:rPr>
        <w:t>5.1.6 未通过符合性审查的。</w:t>
      </w:r>
    </w:p>
    <w:p w14:paraId="5D45657A">
      <w:pPr>
        <w:spacing w:line="440" w:lineRule="exact"/>
        <w:ind w:firstLine="600"/>
        <w:rPr>
          <w:b/>
          <w:bCs/>
          <w:i/>
          <w:color w:val="auto"/>
          <w:sz w:val="24"/>
          <w:szCs w:val="21"/>
          <w:u w:val="single"/>
        </w:rPr>
      </w:pPr>
      <w:r>
        <w:rPr>
          <w:rFonts w:hint="eastAsia"/>
          <w:color w:val="auto"/>
          <w:sz w:val="24"/>
          <w:szCs w:val="24"/>
        </w:rPr>
        <w:t>5.1.7 不符合磋商文件</w:t>
      </w:r>
      <w:r>
        <w:rPr>
          <w:rFonts w:hint="eastAsia"/>
          <w:bCs/>
          <w:color w:val="auto"/>
          <w:sz w:val="24"/>
          <w:szCs w:val="21"/>
        </w:rPr>
        <w:t>中规定的实质性要求和条件的</w:t>
      </w:r>
      <w:r>
        <w:rPr>
          <w:rFonts w:hint="eastAsia"/>
          <w:b/>
          <w:bCs/>
          <w:color w:val="auto"/>
          <w:sz w:val="24"/>
          <w:szCs w:val="21"/>
        </w:rPr>
        <w:t>（</w:t>
      </w:r>
      <w:r>
        <w:rPr>
          <w:rFonts w:hint="eastAsia"/>
          <w:b/>
          <w:bCs/>
          <w:i/>
          <w:color w:val="auto"/>
          <w:sz w:val="24"/>
          <w:szCs w:val="21"/>
          <w:u w:val="single"/>
        </w:rPr>
        <w:t>本磋商文件中斜体且有下划线部分为实质性要求和条件）。</w:t>
      </w:r>
    </w:p>
    <w:p w14:paraId="4A52F0D5">
      <w:pPr>
        <w:spacing w:line="440" w:lineRule="exact"/>
        <w:ind w:firstLine="600"/>
        <w:rPr>
          <w:color w:val="auto"/>
          <w:sz w:val="24"/>
          <w:szCs w:val="24"/>
        </w:rPr>
      </w:pPr>
      <w:r>
        <w:rPr>
          <w:rFonts w:hint="eastAsia"/>
          <w:color w:val="auto"/>
          <w:sz w:val="24"/>
          <w:szCs w:val="24"/>
        </w:rPr>
        <w:t>5.1.8 供应商在中国政府采购网、信用中国网站、信用江苏网站、信用中国（江苏苏州）网站</w:t>
      </w:r>
      <w:r>
        <w:rPr>
          <w:color w:val="auto"/>
          <w:sz w:val="24"/>
          <w:szCs w:val="24"/>
        </w:rPr>
        <w:t>存在</w:t>
      </w:r>
      <w:r>
        <w:rPr>
          <w:rFonts w:hint="eastAsia"/>
          <w:color w:val="auto"/>
          <w:sz w:val="24"/>
          <w:szCs w:val="24"/>
        </w:rPr>
        <w:t>下列</w:t>
      </w:r>
      <w:r>
        <w:rPr>
          <w:color w:val="auto"/>
          <w:sz w:val="24"/>
          <w:szCs w:val="24"/>
        </w:rPr>
        <w:t>依法拒绝</w:t>
      </w:r>
      <w:r>
        <w:rPr>
          <w:rFonts w:hint="eastAsia"/>
          <w:color w:val="auto"/>
          <w:sz w:val="24"/>
          <w:szCs w:val="24"/>
        </w:rPr>
        <w:t>供应商</w:t>
      </w:r>
      <w:r>
        <w:rPr>
          <w:color w:val="auto"/>
          <w:sz w:val="24"/>
          <w:szCs w:val="24"/>
        </w:rPr>
        <w:t>参加政府采购的失信信息的。</w:t>
      </w:r>
    </w:p>
    <w:p w14:paraId="6AEDEA5A">
      <w:pPr>
        <w:spacing w:line="440" w:lineRule="exact"/>
        <w:ind w:firstLine="480"/>
        <w:rPr>
          <w:color w:val="auto"/>
          <w:sz w:val="24"/>
          <w:szCs w:val="24"/>
        </w:rPr>
      </w:pPr>
      <w:r>
        <w:rPr>
          <w:rFonts w:hint="eastAsia"/>
          <w:color w:val="auto"/>
          <w:sz w:val="24"/>
          <w:szCs w:val="24"/>
        </w:rPr>
        <w:t>（1）政府采购严重违法记录，即供应商被全国各级财政部门列入“政府采购严重违法失信行为记录名单”，且在处罚有效期内的。</w:t>
      </w:r>
    </w:p>
    <w:p w14:paraId="444469C5">
      <w:pPr>
        <w:spacing w:line="440" w:lineRule="exact"/>
        <w:ind w:firstLine="480"/>
        <w:rPr>
          <w:color w:val="auto"/>
          <w:sz w:val="24"/>
          <w:szCs w:val="24"/>
        </w:rPr>
      </w:pPr>
      <w:r>
        <w:rPr>
          <w:rFonts w:hint="eastAsia"/>
          <w:color w:val="auto"/>
          <w:sz w:val="24"/>
          <w:szCs w:val="24"/>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响应文件日未满三年的。</w:t>
      </w:r>
    </w:p>
    <w:p w14:paraId="0F9A73C6">
      <w:pPr>
        <w:spacing w:line="440" w:lineRule="exact"/>
        <w:ind w:firstLine="600"/>
        <w:rPr>
          <w:color w:val="auto"/>
          <w:sz w:val="24"/>
          <w:szCs w:val="24"/>
        </w:rPr>
      </w:pPr>
      <w:r>
        <w:rPr>
          <w:rFonts w:hint="eastAsia"/>
          <w:color w:val="auto"/>
          <w:sz w:val="24"/>
          <w:szCs w:val="24"/>
        </w:rPr>
        <w:t>5.1.9 响应文件含有采购人不能接受的附加条件的。</w:t>
      </w:r>
    </w:p>
    <w:p w14:paraId="3358382A">
      <w:pPr>
        <w:spacing w:line="440" w:lineRule="exact"/>
        <w:ind w:firstLine="600"/>
        <w:rPr>
          <w:color w:val="auto"/>
          <w:sz w:val="24"/>
          <w:szCs w:val="24"/>
        </w:rPr>
      </w:pPr>
      <w:r>
        <w:rPr>
          <w:rFonts w:hint="eastAsia"/>
          <w:color w:val="auto"/>
          <w:sz w:val="24"/>
          <w:szCs w:val="24"/>
        </w:rPr>
        <w:t>5.1.10 磋商小组认为供应商的磋商报价明显低于其他通过符合性审查供应商的报价，有可能影响服务质量或者不能诚信履约的，将通过苏采云系统要求其在合理的时间内提供说明，必要时提交相关证明材料；供应商不能证明其磋商报价合理性的，磋商小组可将其作为无效报价处理。</w:t>
      </w:r>
    </w:p>
    <w:p w14:paraId="5A6F76CD">
      <w:pPr>
        <w:spacing w:line="440" w:lineRule="exact"/>
        <w:ind w:firstLine="600"/>
        <w:rPr>
          <w:color w:val="auto"/>
          <w:sz w:val="24"/>
          <w:szCs w:val="24"/>
        </w:rPr>
      </w:pPr>
      <w:r>
        <w:rPr>
          <w:rFonts w:hint="eastAsia"/>
          <w:color w:val="auto"/>
          <w:sz w:val="24"/>
          <w:szCs w:val="24"/>
        </w:rPr>
        <w:t>5.1.11 本项目采购产品被财政部、国家发改委、生态环境部等列入“</w:t>
      </w:r>
      <w:r>
        <w:rPr>
          <w:color w:val="auto"/>
          <w:sz w:val="24"/>
          <w:szCs w:val="24"/>
        </w:rPr>
        <w:t>节能产品政府采购品目清单</w:t>
      </w:r>
      <w:r>
        <w:rPr>
          <w:rFonts w:hint="eastAsia"/>
          <w:color w:val="auto"/>
          <w:sz w:val="24"/>
          <w:szCs w:val="24"/>
        </w:rPr>
        <w:t>”、“</w:t>
      </w:r>
      <w:r>
        <w:rPr>
          <w:color w:val="auto"/>
          <w:sz w:val="24"/>
          <w:szCs w:val="24"/>
        </w:rPr>
        <w:t>环境标志产品政府采购品目清单</w:t>
      </w:r>
      <w:r>
        <w:rPr>
          <w:rFonts w:hint="eastAsia"/>
          <w:color w:val="auto"/>
          <w:sz w:val="24"/>
          <w:szCs w:val="24"/>
        </w:rPr>
        <w:t>”强制采购范围，而供应商所投标产品不在强制采购范围内的。（投标产品如属于政府强制采购节能产品品目清单范围内，响应文件中必须提供</w:t>
      </w:r>
      <w:r>
        <w:rPr>
          <w:color w:val="auto"/>
          <w:sz w:val="24"/>
          <w:szCs w:val="24"/>
        </w:rPr>
        <w:t>强制采购产品具有的国家确定的认证机构出具的、处于有效期之内的认证证书扫描件</w:t>
      </w:r>
      <w:r>
        <w:rPr>
          <w:rFonts w:hint="eastAsia"/>
          <w:color w:val="auto"/>
          <w:sz w:val="24"/>
          <w:szCs w:val="24"/>
        </w:rPr>
        <w:t>）</w:t>
      </w:r>
    </w:p>
    <w:p w14:paraId="012D849F">
      <w:pPr>
        <w:spacing w:line="440" w:lineRule="exact"/>
        <w:ind w:firstLine="600"/>
        <w:rPr>
          <w:color w:val="auto"/>
          <w:sz w:val="24"/>
          <w:szCs w:val="24"/>
        </w:rPr>
      </w:pPr>
      <w:r>
        <w:rPr>
          <w:rFonts w:hint="eastAsia"/>
          <w:color w:val="auto"/>
          <w:sz w:val="24"/>
          <w:szCs w:val="24"/>
        </w:rPr>
        <w:t>5.1.12 响应文件未按照磋商文件要求加盖CA电子公章的。</w:t>
      </w:r>
    </w:p>
    <w:p w14:paraId="4A457BB0">
      <w:pPr>
        <w:spacing w:line="440" w:lineRule="exact"/>
        <w:ind w:firstLine="600"/>
        <w:rPr>
          <w:bCs/>
          <w:color w:val="auto"/>
          <w:sz w:val="24"/>
          <w:szCs w:val="21"/>
        </w:rPr>
      </w:pPr>
      <w:r>
        <w:rPr>
          <w:rFonts w:hint="eastAsia"/>
          <w:color w:val="auto"/>
          <w:sz w:val="24"/>
          <w:szCs w:val="24"/>
        </w:rPr>
        <w:t>5.1.13 其他</w:t>
      </w:r>
      <w:r>
        <w:rPr>
          <w:rFonts w:hint="eastAsia"/>
          <w:bCs/>
          <w:color w:val="auto"/>
          <w:sz w:val="24"/>
          <w:szCs w:val="21"/>
        </w:rPr>
        <w:t>法律、法规及本</w:t>
      </w:r>
      <w:r>
        <w:rPr>
          <w:rFonts w:hint="eastAsia"/>
          <w:color w:val="auto"/>
          <w:sz w:val="24"/>
          <w:szCs w:val="24"/>
        </w:rPr>
        <w:t>磋商</w:t>
      </w:r>
      <w:r>
        <w:rPr>
          <w:rFonts w:hint="eastAsia"/>
          <w:bCs/>
          <w:color w:val="auto"/>
          <w:sz w:val="24"/>
          <w:szCs w:val="21"/>
        </w:rPr>
        <w:t>文件规定的属无效投标的情形。</w:t>
      </w:r>
    </w:p>
    <w:p w14:paraId="66A6E40E">
      <w:pPr>
        <w:spacing w:line="440" w:lineRule="exact"/>
        <w:ind w:firstLine="360"/>
        <w:rPr>
          <w:color w:val="auto"/>
          <w:sz w:val="24"/>
          <w:szCs w:val="24"/>
        </w:rPr>
      </w:pPr>
      <w:r>
        <w:rPr>
          <w:rFonts w:hint="eastAsia"/>
          <w:color w:val="auto"/>
          <w:sz w:val="24"/>
          <w:szCs w:val="24"/>
        </w:rPr>
        <w:t>5.2 废标条款</w:t>
      </w:r>
    </w:p>
    <w:p w14:paraId="2B87DF94">
      <w:pPr>
        <w:spacing w:line="440" w:lineRule="exact"/>
        <w:ind w:firstLine="600"/>
        <w:rPr>
          <w:color w:val="auto"/>
          <w:sz w:val="24"/>
          <w:szCs w:val="24"/>
        </w:rPr>
      </w:pPr>
      <w:r>
        <w:rPr>
          <w:rFonts w:hint="eastAsia"/>
          <w:color w:val="auto"/>
          <w:sz w:val="24"/>
          <w:szCs w:val="24"/>
        </w:rPr>
        <w:t>5.2.1 符合专业条件的供应商或者对磋商文件作实质响应的供应商不足三家的。</w:t>
      </w:r>
    </w:p>
    <w:p w14:paraId="1698F939">
      <w:pPr>
        <w:spacing w:line="440" w:lineRule="exact"/>
        <w:ind w:firstLine="600"/>
        <w:rPr>
          <w:color w:val="auto"/>
          <w:sz w:val="24"/>
          <w:szCs w:val="24"/>
        </w:rPr>
      </w:pPr>
      <w:r>
        <w:rPr>
          <w:rFonts w:hint="eastAsia"/>
          <w:color w:val="auto"/>
          <w:sz w:val="24"/>
          <w:szCs w:val="24"/>
        </w:rPr>
        <w:t>5.2.2 出现影响采购公正的违法、违规行为的。</w:t>
      </w:r>
    </w:p>
    <w:p w14:paraId="059DCBFD">
      <w:pPr>
        <w:spacing w:line="440" w:lineRule="exact"/>
        <w:ind w:firstLine="600"/>
        <w:rPr>
          <w:color w:val="auto"/>
          <w:sz w:val="24"/>
          <w:szCs w:val="24"/>
        </w:rPr>
      </w:pPr>
      <w:r>
        <w:rPr>
          <w:rFonts w:hint="eastAsia"/>
          <w:color w:val="auto"/>
          <w:sz w:val="24"/>
          <w:szCs w:val="24"/>
        </w:rPr>
        <w:t>5.2.3 因重大变故，采购任务取消的。</w:t>
      </w:r>
    </w:p>
    <w:p w14:paraId="11A758F1">
      <w:pPr>
        <w:spacing w:line="440" w:lineRule="exact"/>
        <w:ind w:firstLine="600"/>
        <w:rPr>
          <w:color w:val="auto"/>
          <w:sz w:val="24"/>
          <w:szCs w:val="24"/>
        </w:rPr>
      </w:pPr>
      <w:r>
        <w:rPr>
          <w:rFonts w:hint="eastAsia"/>
          <w:color w:val="auto"/>
          <w:sz w:val="24"/>
          <w:szCs w:val="24"/>
        </w:rPr>
        <w:t>5.2.4 磋商小组认定磋商文件存在歧义、重大缺陷导致评审工作无法进行。</w:t>
      </w:r>
    </w:p>
    <w:p w14:paraId="5C0BD996">
      <w:pPr>
        <w:spacing w:line="440" w:lineRule="exact"/>
        <w:ind w:firstLine="600"/>
        <w:rPr>
          <w:bCs/>
          <w:color w:val="auto"/>
          <w:sz w:val="24"/>
          <w:szCs w:val="21"/>
        </w:rPr>
      </w:pPr>
      <w:r>
        <w:rPr>
          <w:rFonts w:hint="eastAsia"/>
          <w:color w:val="auto"/>
          <w:sz w:val="24"/>
          <w:szCs w:val="24"/>
        </w:rPr>
        <w:t>5.2.5 因苏采云系统</w:t>
      </w:r>
      <w:r>
        <w:rPr>
          <w:bCs/>
          <w:color w:val="auto"/>
          <w:sz w:val="24"/>
          <w:szCs w:val="21"/>
        </w:rPr>
        <w:t>系统故障原因造成开标不成功</w:t>
      </w:r>
      <w:r>
        <w:rPr>
          <w:rFonts w:hint="eastAsia"/>
          <w:bCs/>
          <w:color w:val="auto"/>
          <w:sz w:val="24"/>
          <w:szCs w:val="21"/>
        </w:rPr>
        <w:t>的</w:t>
      </w:r>
      <w:r>
        <w:rPr>
          <w:bCs/>
          <w:color w:val="auto"/>
          <w:sz w:val="24"/>
          <w:szCs w:val="21"/>
        </w:rPr>
        <w:t>。</w:t>
      </w:r>
    </w:p>
    <w:p w14:paraId="4DA726A2">
      <w:pPr>
        <w:spacing w:line="440" w:lineRule="exact"/>
        <w:ind w:firstLine="360"/>
        <w:rPr>
          <w:color w:val="auto"/>
          <w:sz w:val="24"/>
          <w:szCs w:val="24"/>
        </w:rPr>
      </w:pPr>
      <w:r>
        <w:rPr>
          <w:rFonts w:hint="eastAsia"/>
          <w:color w:val="auto"/>
          <w:sz w:val="24"/>
          <w:szCs w:val="24"/>
        </w:rPr>
        <w:t>5.3 响应文件提交截止时间结束后参加投标的供应商不足三家的处理：</w:t>
      </w:r>
    </w:p>
    <w:p w14:paraId="2081F835">
      <w:pPr>
        <w:spacing w:line="440" w:lineRule="exact"/>
        <w:ind w:firstLine="600"/>
        <w:rPr>
          <w:color w:val="auto"/>
          <w:sz w:val="24"/>
          <w:szCs w:val="24"/>
        </w:rPr>
      </w:pPr>
      <w:r>
        <w:rPr>
          <w:rFonts w:hint="eastAsia"/>
          <w:color w:val="auto"/>
          <w:sz w:val="24"/>
          <w:szCs w:val="24"/>
        </w:rPr>
        <w:t>5.3.1 如出现响应文件提交截止时间结束后参加投标的供应商或者在评审期间对磋商文件做出实质响应的供应商不足三家情况，按政府采购相关规定执行。</w:t>
      </w:r>
    </w:p>
    <w:p w14:paraId="351BDD8D">
      <w:pPr>
        <w:spacing w:line="440" w:lineRule="exact"/>
        <w:rPr>
          <w:b/>
          <w:color w:val="auto"/>
          <w:sz w:val="24"/>
          <w:szCs w:val="24"/>
        </w:rPr>
      </w:pPr>
      <w:r>
        <w:rPr>
          <w:rFonts w:hint="eastAsia"/>
          <w:b/>
          <w:color w:val="auto"/>
          <w:sz w:val="24"/>
          <w:szCs w:val="24"/>
        </w:rPr>
        <w:t>6</w:t>
      </w:r>
      <w:r>
        <w:rPr>
          <w:b/>
          <w:color w:val="auto"/>
          <w:sz w:val="24"/>
          <w:szCs w:val="24"/>
        </w:rPr>
        <w:t>、磋商程序</w:t>
      </w:r>
      <w:r>
        <w:rPr>
          <w:rFonts w:hint="eastAsia"/>
          <w:b/>
          <w:color w:val="auto"/>
          <w:sz w:val="24"/>
          <w:szCs w:val="24"/>
        </w:rPr>
        <w:t>及</w:t>
      </w:r>
      <w:r>
        <w:rPr>
          <w:b/>
          <w:color w:val="auto"/>
          <w:sz w:val="24"/>
          <w:szCs w:val="24"/>
        </w:rPr>
        <w:t>响应文件的澄清</w:t>
      </w:r>
    </w:p>
    <w:p w14:paraId="090F2AF7">
      <w:pPr>
        <w:spacing w:line="440" w:lineRule="exact"/>
        <w:ind w:firstLine="360"/>
        <w:rPr>
          <w:color w:val="auto"/>
          <w:sz w:val="24"/>
          <w:szCs w:val="24"/>
        </w:rPr>
      </w:pPr>
      <w:r>
        <w:rPr>
          <w:rFonts w:hint="eastAsia"/>
          <w:color w:val="auto"/>
          <w:sz w:val="24"/>
          <w:szCs w:val="24"/>
        </w:rPr>
        <w:t>6</w:t>
      </w:r>
      <w:r>
        <w:rPr>
          <w:color w:val="auto"/>
          <w:sz w:val="24"/>
          <w:szCs w:val="24"/>
        </w:rPr>
        <w:t>.1 磋商期间，</w:t>
      </w:r>
      <w:r>
        <w:rPr>
          <w:rFonts w:hint="eastAsia"/>
          <w:color w:val="auto"/>
          <w:sz w:val="24"/>
          <w:szCs w:val="24"/>
        </w:rPr>
        <w:t>磋商小组</w:t>
      </w:r>
      <w:r>
        <w:rPr>
          <w:color w:val="auto"/>
          <w:sz w:val="24"/>
          <w:szCs w:val="24"/>
        </w:rPr>
        <w:t>可以要求供应商对响应文件中含义不明确、同类问题表述不一致或者有明显文字和计算错误的内容等作出必要的澄清、说明或者更正</w:t>
      </w:r>
      <w:r>
        <w:rPr>
          <w:color w:val="auto"/>
          <w:sz w:val="24"/>
        </w:rPr>
        <w:t>。</w:t>
      </w:r>
      <w:r>
        <w:rPr>
          <w:rFonts w:hint="eastAsia"/>
          <w:color w:val="auto"/>
          <w:sz w:val="24"/>
        </w:rPr>
        <w:t>但</w:t>
      </w:r>
      <w:r>
        <w:rPr>
          <w:color w:val="auto"/>
          <w:sz w:val="24"/>
          <w:szCs w:val="24"/>
        </w:rPr>
        <w:t>供应商的澄清、说明或者更正不得超出响应文件的范围或者改变响应文件的实质性内容。供应商的澄清、说明或者更正应当由其单位加盖电子公章。</w:t>
      </w:r>
      <w:r>
        <w:rPr>
          <w:rFonts w:hint="eastAsia"/>
          <w:color w:val="auto"/>
          <w:sz w:val="24"/>
          <w:szCs w:val="24"/>
        </w:rPr>
        <w:t>磋商小组并非对每个供应商都作澄清要求。</w:t>
      </w:r>
    </w:p>
    <w:p w14:paraId="25EFF6CF">
      <w:pPr>
        <w:spacing w:line="440" w:lineRule="exact"/>
        <w:ind w:firstLine="360"/>
        <w:rPr>
          <w:color w:val="auto"/>
          <w:sz w:val="24"/>
          <w:szCs w:val="24"/>
        </w:rPr>
      </w:pPr>
      <w:r>
        <w:rPr>
          <w:rFonts w:hint="eastAsia"/>
          <w:color w:val="auto"/>
          <w:sz w:val="24"/>
          <w:szCs w:val="24"/>
        </w:rPr>
        <w:t>注：</w:t>
      </w:r>
      <w:r>
        <w:rPr>
          <w:color w:val="auto"/>
          <w:sz w:val="24"/>
          <w:szCs w:val="24"/>
        </w:rPr>
        <w:t>本</w:t>
      </w:r>
      <w:r>
        <w:rPr>
          <w:rFonts w:hint="eastAsia" w:cs="宋体"/>
          <w:color w:val="auto"/>
          <w:sz w:val="24"/>
          <w:szCs w:val="24"/>
        </w:rPr>
        <w:t>项目供应商的澄清、说明或者更正采用线上澄清:磋商小组将通过“苏采云”系统向供应商发布“澄清要求函”，接到“澄清要求函”的供应商应当按要求在规定时间内通过“苏采云”系统提交“澄清响应函”</w:t>
      </w:r>
      <w:r>
        <w:rPr>
          <w:color w:val="auto"/>
          <w:sz w:val="24"/>
          <w:szCs w:val="24"/>
        </w:rPr>
        <w:t>并加盖CA电子公章，澄清、说明和</w:t>
      </w:r>
      <w:r>
        <w:rPr>
          <w:rFonts w:hint="eastAsia" w:cs="宋体"/>
          <w:color w:val="auto"/>
          <w:sz w:val="24"/>
          <w:szCs w:val="24"/>
        </w:rPr>
        <w:t>更正</w:t>
      </w:r>
      <w:r>
        <w:rPr>
          <w:color w:val="auto"/>
          <w:sz w:val="24"/>
          <w:szCs w:val="24"/>
        </w:rPr>
        <w:t>的内容作为响应文件的补充部分。</w:t>
      </w:r>
      <w:r>
        <w:rPr>
          <w:rFonts w:hint="eastAsia"/>
          <w:color w:val="auto"/>
          <w:sz w:val="24"/>
          <w:szCs w:val="24"/>
        </w:rPr>
        <w:t>（</w:t>
      </w:r>
      <w:r>
        <w:rPr>
          <w:color w:val="auto"/>
          <w:sz w:val="24"/>
          <w:szCs w:val="24"/>
        </w:rPr>
        <w:t>此处规定时间的计算以系统中的倒计时间为准，供应商应随时保持系统在线，如因供应商自身原因未在规定时间内提交澄清确认资料的，导致的不利后果由供应商自行承担。</w:t>
      </w:r>
      <w:r>
        <w:rPr>
          <w:rFonts w:hint="eastAsia"/>
          <w:color w:val="auto"/>
          <w:sz w:val="24"/>
          <w:szCs w:val="24"/>
        </w:rPr>
        <w:t>）</w:t>
      </w:r>
    </w:p>
    <w:p w14:paraId="01DC3C11">
      <w:pPr>
        <w:spacing w:line="440" w:lineRule="exact"/>
        <w:ind w:firstLine="360"/>
        <w:rPr>
          <w:color w:val="auto"/>
          <w:sz w:val="24"/>
          <w:szCs w:val="24"/>
        </w:rPr>
      </w:pPr>
      <w:r>
        <w:rPr>
          <w:rFonts w:hint="eastAsia"/>
          <w:color w:val="auto"/>
          <w:sz w:val="24"/>
          <w:szCs w:val="24"/>
        </w:rPr>
        <w:t xml:space="preserve">6.2 </w:t>
      </w:r>
      <w:r>
        <w:rPr>
          <w:color w:val="auto"/>
          <w:sz w:val="24"/>
          <w:szCs w:val="24"/>
        </w:rPr>
        <w:t>对于通过资格审查和符合性审查的供应商，磋商小组所有成员集中与单一供应商分别进行磋</w:t>
      </w:r>
      <w:r>
        <w:rPr>
          <w:rFonts w:hint="eastAsia" w:cs="宋体"/>
          <w:color w:val="auto"/>
          <w:sz w:val="24"/>
          <w:szCs w:val="24"/>
        </w:rPr>
        <w:t>商，并给予所有参加磋商的供应商平等的磋商机会，</w:t>
      </w:r>
      <w:r>
        <w:rPr>
          <w:color w:val="auto"/>
          <w:sz w:val="24"/>
        </w:rPr>
        <w:t>磋商小组与单一供应商进行磋商的次数和时间视磋商时的具体情况而定。</w:t>
      </w:r>
      <w:r>
        <w:rPr>
          <w:rFonts w:hint="eastAsia" w:cs="宋体"/>
          <w:color w:val="auto"/>
          <w:sz w:val="24"/>
          <w:szCs w:val="24"/>
        </w:rPr>
        <w:t>磋商小组通过“苏采云”系统向供应商发布“磋商函”，供应商应当按照要求在“苏采云”系统提交“磋商响应函”并</w:t>
      </w:r>
      <w:r>
        <w:rPr>
          <w:color w:val="auto"/>
          <w:sz w:val="24"/>
          <w:szCs w:val="24"/>
        </w:rPr>
        <w:t>加盖CA电子公章。</w:t>
      </w:r>
    </w:p>
    <w:p w14:paraId="78F91BFC">
      <w:pPr>
        <w:spacing w:line="440" w:lineRule="exact"/>
        <w:ind w:firstLine="360"/>
        <w:rPr>
          <w:color w:val="auto"/>
          <w:sz w:val="24"/>
          <w:szCs w:val="24"/>
        </w:rPr>
      </w:pPr>
      <w:r>
        <w:rPr>
          <w:rFonts w:hint="eastAsia"/>
          <w:color w:val="auto"/>
          <w:sz w:val="24"/>
          <w:szCs w:val="24"/>
        </w:rPr>
        <w:t xml:space="preserve">6.3 </w:t>
      </w:r>
      <w:r>
        <w:rPr>
          <w:color w:val="auto"/>
          <w:sz w:val="24"/>
          <w:szCs w:val="24"/>
        </w:rPr>
        <w:t>在磋商过程中，磋商小组可以根据</w:t>
      </w:r>
      <w:r>
        <w:rPr>
          <w:rFonts w:hint="eastAsia"/>
          <w:color w:val="auto"/>
          <w:sz w:val="24"/>
          <w:szCs w:val="24"/>
        </w:rPr>
        <w:t>磋商</w:t>
      </w:r>
      <w:r>
        <w:rPr>
          <w:color w:val="auto"/>
          <w:sz w:val="24"/>
          <w:szCs w:val="24"/>
        </w:rPr>
        <w:t>文件和磋商情况实质性变动采购需求中的技术、服务要求以及合同草案条款。对</w:t>
      </w:r>
      <w:r>
        <w:rPr>
          <w:rFonts w:hint="eastAsia"/>
          <w:color w:val="auto"/>
          <w:sz w:val="24"/>
          <w:szCs w:val="24"/>
        </w:rPr>
        <w:t>磋商</w:t>
      </w:r>
      <w:r>
        <w:rPr>
          <w:color w:val="auto"/>
          <w:sz w:val="24"/>
          <w:szCs w:val="24"/>
        </w:rPr>
        <w:t>文件做出的实质性变动是</w:t>
      </w:r>
      <w:r>
        <w:rPr>
          <w:rFonts w:hint="eastAsia"/>
          <w:color w:val="auto"/>
          <w:sz w:val="24"/>
          <w:szCs w:val="24"/>
        </w:rPr>
        <w:t>磋商</w:t>
      </w:r>
      <w:r>
        <w:rPr>
          <w:color w:val="auto"/>
          <w:sz w:val="24"/>
          <w:szCs w:val="24"/>
        </w:rPr>
        <w:t>文件的有效组成部分，磋商小组将</w:t>
      </w:r>
      <w:r>
        <w:rPr>
          <w:rFonts w:hint="eastAsia" w:cs="宋体"/>
          <w:color w:val="auto"/>
          <w:sz w:val="24"/>
          <w:szCs w:val="24"/>
        </w:rPr>
        <w:t>在“苏采云”系统中同</w:t>
      </w:r>
      <w:r>
        <w:rPr>
          <w:color w:val="auto"/>
          <w:sz w:val="24"/>
          <w:szCs w:val="24"/>
        </w:rPr>
        <w:t>时通知所有参加磋商的供应商</w:t>
      </w:r>
      <w:r>
        <w:rPr>
          <w:color w:val="auto"/>
          <w:sz w:val="24"/>
        </w:rPr>
        <w:t>并进行后续磋商</w:t>
      </w:r>
      <w:r>
        <w:rPr>
          <w:color w:val="auto"/>
          <w:sz w:val="24"/>
          <w:szCs w:val="24"/>
        </w:rPr>
        <w:t>。</w:t>
      </w:r>
    </w:p>
    <w:p w14:paraId="07B37B27">
      <w:pPr>
        <w:spacing w:line="440" w:lineRule="exact"/>
        <w:ind w:firstLine="360"/>
        <w:rPr>
          <w:color w:val="auto"/>
          <w:sz w:val="24"/>
          <w:szCs w:val="24"/>
        </w:rPr>
      </w:pPr>
      <w:r>
        <w:rPr>
          <w:rFonts w:hint="eastAsia"/>
          <w:color w:val="auto"/>
          <w:sz w:val="24"/>
          <w:szCs w:val="24"/>
        </w:rPr>
        <w:t xml:space="preserve">6.4 </w:t>
      </w:r>
      <w:r>
        <w:rPr>
          <w:color w:val="auto"/>
          <w:sz w:val="24"/>
          <w:szCs w:val="24"/>
        </w:rPr>
        <w:t>磋商结束后，磋商小组将</w:t>
      </w:r>
      <w:r>
        <w:rPr>
          <w:rFonts w:hint="eastAsia" w:cs="宋体"/>
          <w:color w:val="auto"/>
          <w:sz w:val="24"/>
          <w:szCs w:val="24"/>
        </w:rPr>
        <w:t>在“苏采云”系统向</w:t>
      </w:r>
      <w:r>
        <w:rPr>
          <w:color w:val="auto"/>
          <w:sz w:val="24"/>
          <w:szCs w:val="24"/>
        </w:rPr>
        <w:t>所有实质性响应的</w:t>
      </w:r>
      <w:r>
        <w:rPr>
          <w:rFonts w:hint="eastAsia" w:cs="宋体"/>
          <w:color w:val="auto"/>
          <w:sz w:val="24"/>
          <w:szCs w:val="24"/>
        </w:rPr>
        <w:t>供应商发布“最后报价要求函”及最后报价</w:t>
      </w:r>
      <w:r>
        <w:rPr>
          <w:color w:val="auto"/>
          <w:sz w:val="24"/>
          <w:szCs w:val="24"/>
        </w:rPr>
        <w:t>格式表，要求所有实质性响应的供应商在规定时间内提交最后报价。</w:t>
      </w:r>
    </w:p>
    <w:p w14:paraId="0B88413E">
      <w:pPr>
        <w:spacing w:line="440" w:lineRule="exact"/>
        <w:ind w:firstLine="360"/>
        <w:rPr>
          <w:color w:val="auto"/>
          <w:sz w:val="24"/>
          <w:szCs w:val="24"/>
        </w:rPr>
      </w:pPr>
      <w:r>
        <w:rPr>
          <w:rFonts w:hint="eastAsia"/>
          <w:color w:val="auto"/>
          <w:sz w:val="24"/>
          <w:szCs w:val="24"/>
        </w:rPr>
        <w:t xml:space="preserve">6.5 </w:t>
      </w:r>
      <w:r>
        <w:rPr>
          <w:color w:val="auto"/>
          <w:sz w:val="24"/>
          <w:szCs w:val="24"/>
        </w:rPr>
        <w:t>供应商未在磋商小组规定</w:t>
      </w:r>
      <w:r>
        <w:rPr>
          <w:rFonts w:hint="eastAsia" w:cs="宋体"/>
          <w:color w:val="auto"/>
          <w:sz w:val="24"/>
          <w:szCs w:val="24"/>
        </w:rPr>
        <w:t>的时间内在“苏采云”系</w:t>
      </w:r>
      <w:r>
        <w:rPr>
          <w:color w:val="auto"/>
          <w:sz w:val="24"/>
          <w:szCs w:val="24"/>
        </w:rPr>
        <w:t>统中提交最后报价的视为放弃磋商，其响应文件按无效响应处理，</w:t>
      </w:r>
      <w:r>
        <w:rPr>
          <w:b/>
          <w:bCs/>
          <w:color w:val="auto"/>
          <w:sz w:val="24"/>
          <w:szCs w:val="24"/>
        </w:rPr>
        <w:t>最后报价格式表须加盖CA电子公章</w:t>
      </w:r>
      <w:r>
        <w:rPr>
          <w:rFonts w:hint="eastAsia"/>
          <w:b/>
          <w:bCs/>
          <w:color w:val="auto"/>
          <w:sz w:val="24"/>
          <w:szCs w:val="24"/>
        </w:rPr>
        <w:t>。</w:t>
      </w:r>
      <w:r>
        <w:rPr>
          <w:b/>
          <w:bCs/>
          <w:color w:val="auto"/>
          <w:sz w:val="24"/>
          <w:szCs w:val="24"/>
        </w:rPr>
        <w:t>否则视为未提交最后报价。（此处规定时间的计算以系统中的倒计时间为准，系统中的线上最后报价只有一次机会，提交后无法撤回，请供应商慎重提交）</w:t>
      </w:r>
    </w:p>
    <w:p w14:paraId="053B923D">
      <w:pPr>
        <w:spacing w:line="440" w:lineRule="exact"/>
        <w:ind w:firstLine="360"/>
        <w:rPr>
          <w:color w:val="auto"/>
          <w:sz w:val="24"/>
          <w:szCs w:val="24"/>
        </w:rPr>
      </w:pPr>
      <w:r>
        <w:rPr>
          <w:rFonts w:hint="eastAsia"/>
          <w:color w:val="auto"/>
          <w:sz w:val="24"/>
          <w:szCs w:val="24"/>
        </w:rPr>
        <w:t>注：</w:t>
      </w:r>
      <w:r>
        <w:rPr>
          <w:color w:val="auto"/>
          <w:sz w:val="24"/>
          <w:szCs w:val="24"/>
        </w:rPr>
        <w:t>已提交响应文件的供应商，在提交最后报价之前，可以根据磋商情况退出磋商，并在</w:t>
      </w:r>
      <w:r>
        <w:rPr>
          <w:rFonts w:hint="eastAsia" w:cs="宋体"/>
          <w:color w:val="auto"/>
          <w:sz w:val="24"/>
          <w:szCs w:val="24"/>
        </w:rPr>
        <w:t>“苏采云”系统中提交“退出磋商函”并</w:t>
      </w:r>
      <w:r>
        <w:rPr>
          <w:color w:val="auto"/>
          <w:sz w:val="24"/>
          <w:szCs w:val="24"/>
        </w:rPr>
        <w:t>加盖CA电子公章。</w:t>
      </w:r>
    </w:p>
    <w:p w14:paraId="5965CFCD">
      <w:pPr>
        <w:spacing w:line="440" w:lineRule="exact"/>
        <w:ind w:firstLine="361"/>
        <w:rPr>
          <w:b/>
          <w:bCs/>
          <w:color w:val="auto"/>
          <w:sz w:val="24"/>
          <w:szCs w:val="24"/>
        </w:rPr>
      </w:pPr>
      <w:r>
        <w:rPr>
          <w:b/>
          <w:bCs/>
          <w:color w:val="auto"/>
          <w:sz w:val="24"/>
          <w:szCs w:val="24"/>
        </w:rPr>
        <w:t>进入项目评审流程后，建议各供应商法定代表人或授权委托人始终保持通讯顺畅，时刻关注不见面开标大厅，不离开不见面开标大厅。</w:t>
      </w:r>
    </w:p>
    <w:p w14:paraId="31E1DAAB">
      <w:pPr>
        <w:spacing w:line="440" w:lineRule="exact"/>
        <w:ind w:firstLine="360"/>
        <w:rPr>
          <w:color w:val="auto"/>
          <w:sz w:val="24"/>
          <w:szCs w:val="24"/>
        </w:rPr>
      </w:pPr>
      <w:r>
        <w:rPr>
          <w:rFonts w:hint="eastAsia"/>
          <w:color w:val="auto"/>
          <w:sz w:val="24"/>
          <w:szCs w:val="24"/>
        </w:rPr>
        <w:t xml:space="preserve">6.6 </w:t>
      </w:r>
      <w:r>
        <w:rPr>
          <w:color w:val="auto"/>
          <w:sz w:val="24"/>
          <w:szCs w:val="24"/>
        </w:rPr>
        <w:t>经磋商确定最终采购需求和提交最后报价的供应商后，由磋商小组采用综合评分法对提交最后报价的供应商的响应文件和最后报价进行综合评分。</w:t>
      </w:r>
    </w:p>
    <w:p w14:paraId="408E9AE0">
      <w:pPr>
        <w:spacing w:line="440" w:lineRule="exact"/>
        <w:ind w:firstLine="360"/>
        <w:rPr>
          <w:color w:val="auto"/>
          <w:sz w:val="24"/>
          <w:szCs w:val="24"/>
        </w:rPr>
      </w:pPr>
      <w:r>
        <w:rPr>
          <w:rFonts w:hint="eastAsia"/>
          <w:color w:val="auto"/>
          <w:sz w:val="24"/>
          <w:szCs w:val="24"/>
        </w:rPr>
        <w:t xml:space="preserve">6.7 </w:t>
      </w:r>
      <w:r>
        <w:rPr>
          <w:color w:val="auto"/>
          <w:sz w:val="24"/>
          <w:szCs w:val="24"/>
        </w:rPr>
        <w:t>磋商小组根据磋商成交原则确定成交供应商，并将结果通知所有参加磋商的供应商。</w:t>
      </w:r>
    </w:p>
    <w:p w14:paraId="39D86B87">
      <w:pPr>
        <w:spacing w:line="440" w:lineRule="exact"/>
        <w:ind w:firstLine="360"/>
        <w:rPr>
          <w:color w:val="auto"/>
          <w:sz w:val="24"/>
          <w:szCs w:val="24"/>
        </w:rPr>
      </w:pPr>
      <w:r>
        <w:rPr>
          <w:rFonts w:hint="eastAsia"/>
          <w:color w:val="auto"/>
          <w:sz w:val="24"/>
          <w:szCs w:val="24"/>
        </w:rPr>
        <w:t xml:space="preserve">6.8 </w:t>
      </w:r>
      <w:r>
        <w:rPr>
          <w:color w:val="auto"/>
          <w:sz w:val="24"/>
          <w:szCs w:val="24"/>
        </w:rPr>
        <w:t>如磋商过程中出现本</w:t>
      </w:r>
      <w:r>
        <w:rPr>
          <w:rFonts w:hint="eastAsia"/>
          <w:color w:val="auto"/>
          <w:sz w:val="24"/>
          <w:szCs w:val="24"/>
        </w:rPr>
        <w:t>磋商</w:t>
      </w:r>
      <w:r>
        <w:rPr>
          <w:color w:val="auto"/>
          <w:sz w:val="24"/>
          <w:szCs w:val="24"/>
        </w:rPr>
        <w:t>文件未尽事宜，由磋商小组根据政府采购有关法律、法规讨论决定。</w:t>
      </w:r>
    </w:p>
    <w:p w14:paraId="3EA1DFF4">
      <w:pPr>
        <w:pStyle w:val="5"/>
        <w:rPr>
          <w:color w:val="auto"/>
        </w:rPr>
      </w:pPr>
      <w:bookmarkStart w:id="59" w:name="_Toc5818"/>
      <w:bookmarkStart w:id="60" w:name="_Toc32394"/>
      <w:bookmarkStart w:id="61" w:name="_Toc9029"/>
      <w:r>
        <w:rPr>
          <w:color w:val="auto"/>
        </w:rPr>
        <w:t>六、</w:t>
      </w:r>
      <w:bookmarkEnd w:id="43"/>
      <w:r>
        <w:rPr>
          <w:rFonts w:hint="eastAsia"/>
          <w:color w:val="auto"/>
        </w:rPr>
        <w:t>成交</w:t>
      </w:r>
      <w:bookmarkEnd w:id="59"/>
      <w:bookmarkEnd w:id="60"/>
      <w:bookmarkEnd w:id="61"/>
    </w:p>
    <w:p w14:paraId="6319592C">
      <w:pPr>
        <w:spacing w:line="440" w:lineRule="exact"/>
        <w:rPr>
          <w:b/>
          <w:color w:val="auto"/>
          <w:sz w:val="24"/>
          <w:szCs w:val="24"/>
        </w:rPr>
      </w:pPr>
      <w:r>
        <w:rPr>
          <w:b/>
          <w:color w:val="auto"/>
          <w:sz w:val="24"/>
          <w:szCs w:val="24"/>
        </w:rPr>
        <w:t>1、</w:t>
      </w:r>
      <w:r>
        <w:rPr>
          <w:rFonts w:hint="eastAsia"/>
          <w:b/>
          <w:color w:val="auto"/>
          <w:sz w:val="24"/>
          <w:szCs w:val="24"/>
        </w:rPr>
        <w:t>确定成交单位</w:t>
      </w:r>
    </w:p>
    <w:p w14:paraId="5E7EDC67">
      <w:pPr>
        <w:spacing w:line="440" w:lineRule="exact"/>
        <w:ind w:firstLine="360"/>
        <w:rPr>
          <w:color w:val="auto"/>
          <w:sz w:val="24"/>
          <w:szCs w:val="24"/>
        </w:rPr>
      </w:pPr>
      <w:r>
        <w:rPr>
          <w:rFonts w:hint="eastAsia"/>
          <w:color w:val="auto"/>
          <w:sz w:val="24"/>
          <w:szCs w:val="24"/>
        </w:rPr>
        <w:t>1.1 成交候选人的选取原则见磋商文件第五章规定。</w:t>
      </w:r>
    </w:p>
    <w:p w14:paraId="43DA3914">
      <w:pPr>
        <w:spacing w:line="440" w:lineRule="exact"/>
        <w:ind w:firstLine="360"/>
        <w:rPr>
          <w:color w:val="auto"/>
          <w:sz w:val="24"/>
          <w:szCs w:val="24"/>
        </w:rPr>
      </w:pPr>
      <w:r>
        <w:rPr>
          <w:rFonts w:hint="eastAsia"/>
          <w:color w:val="auto"/>
          <w:sz w:val="24"/>
          <w:szCs w:val="24"/>
        </w:rPr>
        <w:t xml:space="preserve">1.2 </w:t>
      </w:r>
      <w:r>
        <w:rPr>
          <w:rFonts w:cs="宋体"/>
          <w:color w:val="auto"/>
          <w:sz w:val="24"/>
          <w:szCs w:val="24"/>
        </w:rPr>
        <w:t>磋商小组根据排列情况将推荐前三名为成交候选人，并根据采购人委托</w:t>
      </w:r>
      <w:r>
        <w:rPr>
          <w:rFonts w:hint="eastAsia" w:cs="宋体"/>
          <w:color w:val="auto"/>
          <w:sz w:val="24"/>
          <w:szCs w:val="24"/>
        </w:rPr>
        <w:t>直接</w:t>
      </w:r>
      <w:r>
        <w:rPr>
          <w:rFonts w:cs="宋体"/>
          <w:color w:val="auto"/>
          <w:sz w:val="24"/>
          <w:szCs w:val="24"/>
        </w:rPr>
        <w:t>确定排名第一的成交候选人为成交供应商。</w:t>
      </w:r>
    </w:p>
    <w:p w14:paraId="25CC900E">
      <w:pPr>
        <w:spacing w:line="440" w:lineRule="exact"/>
        <w:ind w:firstLine="360"/>
        <w:rPr>
          <w:color w:val="auto"/>
          <w:sz w:val="24"/>
          <w:szCs w:val="24"/>
        </w:rPr>
      </w:pPr>
      <w:r>
        <w:rPr>
          <w:rFonts w:hint="eastAsia"/>
          <w:color w:val="auto"/>
          <w:sz w:val="24"/>
          <w:szCs w:val="24"/>
        </w:rPr>
        <w:t>1.3 代理机构将在指定媒体上发布</w:t>
      </w:r>
      <w:r>
        <w:rPr>
          <w:color w:val="auto"/>
          <w:sz w:val="24"/>
          <w:szCs w:val="24"/>
        </w:rPr>
        <w:t>成交结果</w:t>
      </w:r>
      <w:r>
        <w:rPr>
          <w:rFonts w:hint="eastAsia"/>
          <w:color w:val="auto"/>
          <w:sz w:val="24"/>
          <w:szCs w:val="24"/>
        </w:rPr>
        <w:t>公告，公告期限为1个工作日。</w:t>
      </w:r>
    </w:p>
    <w:p w14:paraId="33BF301E">
      <w:pPr>
        <w:spacing w:line="440" w:lineRule="exact"/>
        <w:ind w:firstLine="360"/>
        <w:rPr>
          <w:color w:val="auto"/>
          <w:sz w:val="24"/>
          <w:szCs w:val="24"/>
        </w:rPr>
      </w:pPr>
      <w:r>
        <w:rPr>
          <w:rFonts w:hint="eastAsia"/>
          <w:color w:val="auto"/>
          <w:sz w:val="24"/>
          <w:szCs w:val="24"/>
        </w:rPr>
        <w:t>1.4 若有充分证据证明，</w:t>
      </w:r>
      <w:r>
        <w:rPr>
          <w:color w:val="auto"/>
          <w:sz w:val="24"/>
          <w:szCs w:val="24"/>
        </w:rPr>
        <w:t>成交供应商</w:t>
      </w:r>
      <w:r>
        <w:rPr>
          <w:rFonts w:hint="eastAsia"/>
          <w:color w:val="auto"/>
          <w:sz w:val="24"/>
          <w:szCs w:val="24"/>
        </w:rPr>
        <w:t>出现下列情况之一的，一经查实，将被取消成交资格：</w:t>
      </w:r>
    </w:p>
    <w:p w14:paraId="48A5D03B">
      <w:pPr>
        <w:spacing w:line="440" w:lineRule="exact"/>
        <w:ind w:firstLine="600"/>
        <w:rPr>
          <w:color w:val="auto"/>
          <w:sz w:val="24"/>
          <w:szCs w:val="24"/>
        </w:rPr>
      </w:pPr>
      <w:r>
        <w:rPr>
          <w:rFonts w:hint="eastAsia"/>
          <w:color w:val="auto"/>
          <w:sz w:val="24"/>
          <w:szCs w:val="24"/>
        </w:rPr>
        <w:t>1.4.1 提供虚假材料谋取成交的。</w:t>
      </w:r>
    </w:p>
    <w:p w14:paraId="1C323F67">
      <w:pPr>
        <w:spacing w:line="440" w:lineRule="exact"/>
        <w:ind w:firstLine="600"/>
        <w:rPr>
          <w:color w:val="auto"/>
          <w:sz w:val="24"/>
          <w:szCs w:val="24"/>
        </w:rPr>
      </w:pPr>
      <w:r>
        <w:rPr>
          <w:rFonts w:hint="eastAsia"/>
          <w:color w:val="auto"/>
          <w:sz w:val="24"/>
          <w:szCs w:val="24"/>
        </w:rPr>
        <w:t>1.4.2 向采购人、代理机构行贿或者提供其他不正当利益的。</w:t>
      </w:r>
    </w:p>
    <w:p w14:paraId="4EB70F56">
      <w:pPr>
        <w:spacing w:line="440" w:lineRule="exact"/>
        <w:ind w:firstLine="600"/>
        <w:rPr>
          <w:color w:val="auto"/>
          <w:sz w:val="24"/>
          <w:szCs w:val="24"/>
        </w:rPr>
      </w:pPr>
      <w:r>
        <w:rPr>
          <w:rFonts w:hint="eastAsia"/>
          <w:color w:val="auto"/>
          <w:sz w:val="24"/>
          <w:szCs w:val="24"/>
        </w:rPr>
        <w:t>1.4.3 属于本文件规定的无效条件，但在评标过程中又未被评委会发现的。</w:t>
      </w:r>
    </w:p>
    <w:p w14:paraId="5FD42391">
      <w:pPr>
        <w:spacing w:line="440" w:lineRule="exact"/>
        <w:ind w:firstLine="600"/>
        <w:rPr>
          <w:color w:val="auto"/>
          <w:sz w:val="24"/>
          <w:szCs w:val="24"/>
        </w:rPr>
      </w:pPr>
      <w:r>
        <w:rPr>
          <w:rFonts w:hint="eastAsia"/>
          <w:color w:val="auto"/>
          <w:sz w:val="24"/>
          <w:szCs w:val="24"/>
        </w:rPr>
        <w:t>1.4.4 与采购人或者其他供应商恶意串通的。</w:t>
      </w:r>
    </w:p>
    <w:p w14:paraId="68655CE5">
      <w:pPr>
        <w:spacing w:line="440" w:lineRule="exact"/>
        <w:ind w:firstLine="600"/>
        <w:rPr>
          <w:color w:val="auto"/>
          <w:sz w:val="24"/>
          <w:szCs w:val="24"/>
        </w:rPr>
      </w:pPr>
      <w:r>
        <w:rPr>
          <w:rFonts w:hint="eastAsia"/>
          <w:color w:val="auto"/>
          <w:sz w:val="24"/>
          <w:szCs w:val="24"/>
        </w:rPr>
        <w:t>1.4.5 采取不正当手段诋毁、排挤其他供应商的。</w:t>
      </w:r>
    </w:p>
    <w:p w14:paraId="13A9BAA0">
      <w:pPr>
        <w:spacing w:line="440" w:lineRule="exact"/>
        <w:ind w:firstLine="360"/>
        <w:rPr>
          <w:color w:val="auto"/>
          <w:sz w:val="24"/>
          <w:szCs w:val="24"/>
        </w:rPr>
      </w:pPr>
      <w:r>
        <w:rPr>
          <w:rFonts w:hint="eastAsia"/>
          <w:color w:val="auto"/>
          <w:sz w:val="24"/>
          <w:szCs w:val="24"/>
        </w:rPr>
        <w:t>1.5 有下列情形之一的，视为供应商串通投标，投标无效：</w:t>
      </w:r>
    </w:p>
    <w:p w14:paraId="71694225">
      <w:pPr>
        <w:spacing w:line="440" w:lineRule="exact"/>
        <w:ind w:firstLine="600"/>
        <w:rPr>
          <w:color w:val="auto"/>
          <w:sz w:val="24"/>
          <w:szCs w:val="24"/>
        </w:rPr>
      </w:pPr>
      <w:r>
        <w:rPr>
          <w:rFonts w:hint="eastAsia"/>
          <w:color w:val="auto"/>
          <w:sz w:val="24"/>
          <w:szCs w:val="24"/>
        </w:rPr>
        <w:t>1.5.1 不同供应商的响应文件由同一单位或者个人编制。</w:t>
      </w:r>
    </w:p>
    <w:p w14:paraId="6E1B8438">
      <w:pPr>
        <w:spacing w:line="440" w:lineRule="exact"/>
        <w:ind w:firstLine="600"/>
        <w:rPr>
          <w:color w:val="auto"/>
          <w:sz w:val="24"/>
          <w:szCs w:val="24"/>
        </w:rPr>
      </w:pPr>
      <w:r>
        <w:rPr>
          <w:rFonts w:hint="eastAsia"/>
          <w:color w:val="auto"/>
          <w:sz w:val="24"/>
          <w:szCs w:val="24"/>
        </w:rPr>
        <w:t>1.5.2 不同供应商委托同一单位或者个人办理投标事宜。</w:t>
      </w:r>
    </w:p>
    <w:p w14:paraId="30AC3F12">
      <w:pPr>
        <w:spacing w:line="440" w:lineRule="exact"/>
        <w:ind w:firstLine="600"/>
        <w:rPr>
          <w:color w:val="auto"/>
          <w:sz w:val="24"/>
          <w:szCs w:val="24"/>
        </w:rPr>
      </w:pPr>
      <w:r>
        <w:rPr>
          <w:rFonts w:hint="eastAsia"/>
          <w:color w:val="auto"/>
          <w:sz w:val="24"/>
          <w:szCs w:val="24"/>
        </w:rPr>
        <w:t>1.5.3 不同供应商的响应文件载明的项目管理成员或者联系人员为同一人。</w:t>
      </w:r>
    </w:p>
    <w:p w14:paraId="5AFC7093">
      <w:pPr>
        <w:spacing w:line="440" w:lineRule="exact"/>
        <w:ind w:firstLine="600"/>
        <w:rPr>
          <w:color w:val="auto"/>
          <w:sz w:val="24"/>
          <w:szCs w:val="24"/>
        </w:rPr>
      </w:pPr>
      <w:r>
        <w:rPr>
          <w:rFonts w:hint="eastAsia"/>
          <w:color w:val="auto"/>
          <w:sz w:val="24"/>
          <w:szCs w:val="24"/>
        </w:rPr>
        <w:t>1.5.4 不同供应商的响应文件异常一致或者报价呈规律性差异。</w:t>
      </w:r>
    </w:p>
    <w:p w14:paraId="2177ABD8">
      <w:pPr>
        <w:spacing w:line="440" w:lineRule="exact"/>
        <w:rPr>
          <w:b/>
          <w:color w:val="auto"/>
          <w:sz w:val="24"/>
          <w:szCs w:val="24"/>
        </w:rPr>
      </w:pPr>
      <w:r>
        <w:rPr>
          <w:rFonts w:hint="eastAsia"/>
          <w:b/>
          <w:color w:val="auto"/>
          <w:sz w:val="24"/>
          <w:szCs w:val="24"/>
        </w:rPr>
        <w:t>2、质疑处理</w:t>
      </w:r>
    </w:p>
    <w:p w14:paraId="07083B4A">
      <w:pPr>
        <w:spacing w:line="440" w:lineRule="exact"/>
        <w:ind w:firstLine="360"/>
        <w:rPr>
          <w:color w:val="auto"/>
          <w:sz w:val="24"/>
          <w:szCs w:val="24"/>
        </w:rPr>
      </w:pPr>
      <w:r>
        <w:rPr>
          <w:rFonts w:hint="eastAsia"/>
          <w:color w:val="auto"/>
          <w:sz w:val="24"/>
          <w:szCs w:val="24"/>
        </w:rPr>
        <w:t>2.1 提出质疑的供应商应当是参与所质疑项目采购活动的供应商。潜在供应商依法获取其可质疑的采购文件的，可以对采购文件提出质疑。请将</w:t>
      </w:r>
      <w:bookmarkStart w:id="62" w:name="_Hlk98510751"/>
      <w:r>
        <w:rPr>
          <w:rFonts w:hint="eastAsia"/>
          <w:color w:val="auto"/>
          <w:sz w:val="24"/>
          <w:szCs w:val="24"/>
        </w:rPr>
        <w:t>获取采购文件后打印留存的《投标供应商确认函》等</w:t>
      </w:r>
      <w:bookmarkEnd w:id="62"/>
      <w:r>
        <w:rPr>
          <w:rFonts w:hint="eastAsia"/>
          <w:color w:val="auto"/>
          <w:sz w:val="24"/>
          <w:szCs w:val="24"/>
        </w:rPr>
        <w:t>必要的证明材料与质疑函一起递交，否则不予受理。</w:t>
      </w:r>
    </w:p>
    <w:p w14:paraId="61D733BD">
      <w:pPr>
        <w:spacing w:line="440" w:lineRule="exact"/>
        <w:ind w:firstLine="360"/>
        <w:rPr>
          <w:color w:val="auto"/>
          <w:sz w:val="24"/>
          <w:szCs w:val="24"/>
        </w:rPr>
      </w:pPr>
      <w:r>
        <w:rPr>
          <w:rFonts w:hint="eastAsia"/>
          <w:color w:val="auto"/>
          <w:sz w:val="24"/>
          <w:szCs w:val="24"/>
        </w:rPr>
        <w:t>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p>
    <w:p w14:paraId="17E8B9CC">
      <w:pPr>
        <w:spacing w:line="440" w:lineRule="exact"/>
        <w:ind w:firstLine="600"/>
        <w:rPr>
          <w:color w:val="auto"/>
          <w:sz w:val="24"/>
          <w:szCs w:val="24"/>
        </w:rPr>
      </w:pPr>
      <w:r>
        <w:rPr>
          <w:rFonts w:hint="eastAsia"/>
          <w:color w:val="auto"/>
          <w:sz w:val="24"/>
          <w:szCs w:val="24"/>
        </w:rPr>
        <w:t>2.2.1 对可以质疑的采购文件提出质疑的，为收到采购文件之日或者采购文件公告期限届满之日。</w:t>
      </w:r>
    </w:p>
    <w:p w14:paraId="562C7C4F">
      <w:pPr>
        <w:spacing w:line="440" w:lineRule="exact"/>
        <w:ind w:firstLine="600"/>
        <w:rPr>
          <w:color w:val="auto"/>
          <w:sz w:val="24"/>
          <w:szCs w:val="24"/>
        </w:rPr>
      </w:pPr>
      <w:r>
        <w:rPr>
          <w:rFonts w:hint="eastAsia"/>
          <w:color w:val="auto"/>
          <w:sz w:val="24"/>
          <w:szCs w:val="24"/>
        </w:rPr>
        <w:t>2.2.2 对采购过程提出质疑的，为各采购程序环节结束之日。</w:t>
      </w:r>
    </w:p>
    <w:p w14:paraId="03A9BB32">
      <w:pPr>
        <w:spacing w:line="440" w:lineRule="exact"/>
        <w:ind w:firstLine="600"/>
        <w:rPr>
          <w:color w:val="auto"/>
          <w:sz w:val="24"/>
          <w:szCs w:val="24"/>
        </w:rPr>
      </w:pPr>
      <w:r>
        <w:rPr>
          <w:rFonts w:hint="eastAsia"/>
          <w:color w:val="auto"/>
          <w:sz w:val="24"/>
          <w:szCs w:val="24"/>
        </w:rPr>
        <w:t>2.2.3 对中标或者成交结果提出质疑的，为中标或者成交结果公告期限届满之日。</w:t>
      </w:r>
    </w:p>
    <w:p w14:paraId="217F0E22">
      <w:pPr>
        <w:spacing w:line="440" w:lineRule="exact"/>
        <w:ind w:firstLine="600"/>
        <w:rPr>
          <w:color w:val="auto"/>
          <w:sz w:val="24"/>
          <w:szCs w:val="24"/>
        </w:rPr>
      </w:pPr>
      <w:r>
        <w:rPr>
          <w:rFonts w:hint="eastAsia"/>
          <w:color w:val="auto"/>
          <w:sz w:val="24"/>
          <w:szCs w:val="24"/>
        </w:rPr>
        <w:t>供应商应当在法定质疑期内一次性提出针对同一采购程序环节的质疑。供应商如在法定期限内对同一采购程序环节提出多次质疑的，代理机构、采购人将只对供应商第一次质疑作出答复。</w:t>
      </w:r>
    </w:p>
    <w:p w14:paraId="224E0532">
      <w:pPr>
        <w:spacing w:line="440" w:lineRule="exact"/>
        <w:ind w:firstLine="360"/>
        <w:rPr>
          <w:b/>
          <w:bCs/>
          <w:color w:val="auto"/>
          <w:sz w:val="24"/>
          <w:szCs w:val="24"/>
        </w:rPr>
      </w:pPr>
      <w:r>
        <w:rPr>
          <w:rFonts w:hint="eastAsia"/>
          <w:color w:val="auto"/>
          <w:sz w:val="24"/>
          <w:szCs w:val="24"/>
        </w:rPr>
        <w:t>2.3 质疑函必须按照本磋商文件中《质疑函范本》要求的格式和内容进行填写。</w:t>
      </w:r>
    </w:p>
    <w:p w14:paraId="262A16A6">
      <w:pPr>
        <w:spacing w:line="440" w:lineRule="exact"/>
        <w:ind w:firstLine="360"/>
        <w:rPr>
          <w:color w:val="auto"/>
          <w:sz w:val="24"/>
          <w:szCs w:val="24"/>
        </w:rPr>
      </w:pPr>
      <w:r>
        <w:rPr>
          <w:rFonts w:hint="eastAsia"/>
          <w:color w:val="auto"/>
          <w:sz w:val="24"/>
          <w:szCs w:val="24"/>
        </w:rPr>
        <w:t>2.4 供应商对采购方式、磋商文件中采购需求、申请人的资格要求、评标方法与评标标准、合同文本及资格审查结果的询问、质疑请向采购人提出，由采购人负责答复。供应商对其他事项的询问、质疑请向代理机构提出，由代理机构负责答复。</w:t>
      </w:r>
    </w:p>
    <w:p w14:paraId="37B39CB9">
      <w:pPr>
        <w:spacing w:line="440" w:lineRule="exact"/>
        <w:ind w:firstLine="360"/>
        <w:rPr>
          <w:color w:val="auto"/>
          <w:sz w:val="24"/>
          <w:szCs w:val="24"/>
        </w:rPr>
      </w:pPr>
      <w:r>
        <w:rPr>
          <w:rFonts w:hint="eastAsia"/>
          <w:color w:val="auto"/>
          <w:sz w:val="24"/>
          <w:szCs w:val="24"/>
        </w:rPr>
        <w:t>采购人及代理机构只接收以纸质原件形式送达的质疑，建议供应商尽量通过邮寄方式提交质疑</w:t>
      </w:r>
      <w:r>
        <w:rPr>
          <w:rFonts w:hint="eastAsia"/>
          <w:b/>
          <w:bCs/>
          <w:color w:val="auto"/>
          <w:sz w:val="24"/>
          <w:szCs w:val="24"/>
        </w:rPr>
        <w:t>（采购人和代理机构不接受未填写快递运单的快件）</w:t>
      </w:r>
      <w:r>
        <w:rPr>
          <w:rFonts w:hint="eastAsia"/>
          <w:color w:val="auto"/>
          <w:sz w:val="24"/>
          <w:szCs w:val="24"/>
        </w:rPr>
        <w:t>。</w:t>
      </w:r>
    </w:p>
    <w:p w14:paraId="00902473">
      <w:pPr>
        <w:spacing w:line="440" w:lineRule="exact"/>
        <w:ind w:firstLine="360"/>
        <w:rPr>
          <w:color w:val="auto"/>
          <w:sz w:val="24"/>
          <w:szCs w:val="24"/>
        </w:rPr>
      </w:pPr>
      <w:r>
        <w:rPr>
          <w:rFonts w:hint="eastAsia"/>
          <w:color w:val="auto"/>
          <w:sz w:val="24"/>
          <w:szCs w:val="24"/>
        </w:rPr>
        <w:t>采购人、代理机构质疑接收人及联系方式：详见磋商文件“第一章 磋商邀请”中“八、凡对本次采购提出询问，请按以下方式联系”下有关联系方式。</w:t>
      </w:r>
    </w:p>
    <w:p w14:paraId="34D30EF1">
      <w:pPr>
        <w:spacing w:line="440" w:lineRule="exact"/>
        <w:ind w:firstLine="360"/>
        <w:rPr>
          <w:color w:val="auto"/>
          <w:sz w:val="24"/>
          <w:szCs w:val="24"/>
        </w:rPr>
      </w:pPr>
      <w:r>
        <w:rPr>
          <w:rFonts w:hint="eastAsia"/>
          <w:color w:val="auto"/>
          <w:sz w:val="24"/>
          <w:szCs w:val="24"/>
        </w:rPr>
        <w:t>2.5 以下情形的质疑不予受理：</w:t>
      </w:r>
    </w:p>
    <w:p w14:paraId="1FF1121D">
      <w:pPr>
        <w:spacing w:line="440" w:lineRule="exact"/>
        <w:ind w:firstLine="600"/>
        <w:rPr>
          <w:color w:val="auto"/>
          <w:sz w:val="24"/>
          <w:szCs w:val="24"/>
        </w:rPr>
      </w:pPr>
      <w:r>
        <w:rPr>
          <w:rFonts w:hint="eastAsia"/>
          <w:color w:val="auto"/>
          <w:sz w:val="24"/>
          <w:szCs w:val="24"/>
        </w:rPr>
        <w:t>2.5.1 内容不符合《政府采购质疑和投诉办法》第十二条规定的质疑。</w:t>
      </w:r>
    </w:p>
    <w:p w14:paraId="7E50AA5A">
      <w:pPr>
        <w:spacing w:line="440" w:lineRule="exact"/>
        <w:ind w:firstLine="600"/>
        <w:rPr>
          <w:color w:val="auto"/>
          <w:sz w:val="24"/>
          <w:szCs w:val="24"/>
        </w:rPr>
      </w:pPr>
      <w:r>
        <w:rPr>
          <w:rFonts w:hint="eastAsia"/>
          <w:color w:val="auto"/>
          <w:sz w:val="24"/>
          <w:szCs w:val="24"/>
        </w:rPr>
        <w:t>2.5.2 超出政府采购法定期限的质疑。</w:t>
      </w:r>
    </w:p>
    <w:p w14:paraId="77A42FA6">
      <w:pPr>
        <w:spacing w:line="440" w:lineRule="exact"/>
        <w:ind w:firstLine="600"/>
        <w:rPr>
          <w:color w:val="auto"/>
          <w:sz w:val="24"/>
          <w:szCs w:val="24"/>
        </w:rPr>
      </w:pPr>
      <w:r>
        <w:rPr>
          <w:rFonts w:hint="eastAsia"/>
          <w:color w:val="auto"/>
          <w:sz w:val="24"/>
          <w:szCs w:val="24"/>
        </w:rPr>
        <w:t>2.5.3 以传真、电子邮件等方式递交的非原件形式的质疑。</w:t>
      </w:r>
    </w:p>
    <w:p w14:paraId="70C4D994">
      <w:pPr>
        <w:spacing w:line="440" w:lineRule="exact"/>
        <w:ind w:firstLine="600"/>
        <w:rPr>
          <w:color w:val="auto"/>
          <w:sz w:val="24"/>
          <w:szCs w:val="24"/>
        </w:rPr>
      </w:pPr>
      <w:r>
        <w:rPr>
          <w:rFonts w:hint="eastAsia"/>
          <w:color w:val="auto"/>
          <w:sz w:val="24"/>
          <w:szCs w:val="24"/>
        </w:rPr>
        <w:t>2.5.4 未参加投标活动的供应商或在投标活动中自身权益未受到损害的供应商所提出的质疑。</w:t>
      </w:r>
    </w:p>
    <w:p w14:paraId="4ADC00B8">
      <w:pPr>
        <w:spacing w:line="440" w:lineRule="exact"/>
        <w:ind w:firstLine="360"/>
        <w:rPr>
          <w:color w:val="auto"/>
          <w:sz w:val="24"/>
          <w:szCs w:val="24"/>
        </w:rPr>
      </w:pPr>
      <w:r>
        <w:rPr>
          <w:rFonts w:hint="eastAsia"/>
          <w:color w:val="auto"/>
          <w:sz w:val="24"/>
          <w:szCs w:val="24"/>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751479B8">
      <w:pPr>
        <w:spacing w:line="440" w:lineRule="exact"/>
        <w:rPr>
          <w:b/>
          <w:color w:val="auto"/>
          <w:sz w:val="24"/>
          <w:szCs w:val="24"/>
        </w:rPr>
      </w:pPr>
      <w:r>
        <w:rPr>
          <w:rFonts w:hint="eastAsia"/>
          <w:b/>
          <w:color w:val="auto"/>
          <w:sz w:val="24"/>
          <w:szCs w:val="24"/>
        </w:rPr>
        <w:t>3、</w:t>
      </w:r>
      <w:r>
        <w:rPr>
          <w:b/>
          <w:color w:val="auto"/>
          <w:sz w:val="24"/>
          <w:szCs w:val="24"/>
        </w:rPr>
        <w:t>中标（成交）</w:t>
      </w:r>
      <w:r>
        <w:rPr>
          <w:rFonts w:hint="eastAsia"/>
          <w:b/>
          <w:color w:val="auto"/>
          <w:sz w:val="24"/>
          <w:szCs w:val="24"/>
        </w:rPr>
        <w:t>通知书</w:t>
      </w:r>
    </w:p>
    <w:p w14:paraId="2D8E70BF">
      <w:pPr>
        <w:spacing w:line="440" w:lineRule="exact"/>
        <w:ind w:firstLine="360"/>
        <w:rPr>
          <w:color w:val="auto"/>
          <w:sz w:val="24"/>
          <w:szCs w:val="24"/>
        </w:rPr>
      </w:pPr>
      <w:r>
        <w:rPr>
          <w:rFonts w:hint="eastAsia"/>
          <w:color w:val="auto"/>
          <w:sz w:val="24"/>
          <w:szCs w:val="24"/>
        </w:rPr>
        <w:t>3.l 成交结果确定后，代理机构将向成交供应商发出中标（成交）通知书。请成交供应商在成交结果公告届满之日起30日内，使用CA数字证书登录苏采云系统及时下载中标（成交）通知书。因系统存储空间有限，自成交结果公告届满之日起30日后，苏采云系统不再保证提供下载中标（成交）通知书服务，因未及时下载而造成的不利后果由成交供应商自行承担。</w:t>
      </w:r>
    </w:p>
    <w:p w14:paraId="4C880E40">
      <w:pPr>
        <w:spacing w:line="440" w:lineRule="exact"/>
        <w:ind w:firstLine="360"/>
        <w:rPr>
          <w:color w:val="auto"/>
          <w:sz w:val="24"/>
          <w:szCs w:val="24"/>
        </w:rPr>
      </w:pPr>
      <w:r>
        <w:rPr>
          <w:rFonts w:hint="eastAsia"/>
          <w:color w:val="auto"/>
          <w:sz w:val="24"/>
          <w:szCs w:val="24"/>
        </w:rPr>
        <w:t>3.2 中标（成交）通知书将是合同的一个组成部分。对采购人和成交供应商均具有法律效力。中标（成交）通知书发出后，采购人改变成交结果的，或者成交供应商放弃中标项目的，应当依法承担法律责任。</w:t>
      </w:r>
    </w:p>
    <w:p w14:paraId="1A97964D">
      <w:pPr>
        <w:pStyle w:val="5"/>
        <w:rPr>
          <w:color w:val="auto"/>
        </w:rPr>
      </w:pPr>
      <w:bookmarkStart w:id="63" w:name="_Toc17963"/>
      <w:bookmarkStart w:id="64" w:name="_Toc9267"/>
      <w:bookmarkStart w:id="65" w:name="_Toc13870"/>
      <w:r>
        <w:rPr>
          <w:rFonts w:hint="eastAsia"/>
          <w:color w:val="auto"/>
        </w:rPr>
        <w:t>七</w:t>
      </w:r>
      <w:r>
        <w:rPr>
          <w:color w:val="auto"/>
        </w:rPr>
        <w:t>、授予合同</w:t>
      </w:r>
      <w:bookmarkEnd w:id="63"/>
      <w:bookmarkEnd w:id="64"/>
      <w:bookmarkEnd w:id="65"/>
    </w:p>
    <w:p w14:paraId="446DD4C6">
      <w:pPr>
        <w:spacing w:line="440" w:lineRule="exact"/>
        <w:rPr>
          <w:b/>
          <w:color w:val="auto"/>
          <w:sz w:val="24"/>
          <w:szCs w:val="24"/>
        </w:rPr>
      </w:pPr>
      <w:r>
        <w:rPr>
          <w:b/>
          <w:color w:val="auto"/>
          <w:sz w:val="24"/>
          <w:szCs w:val="24"/>
        </w:rPr>
        <w:t>1、</w:t>
      </w:r>
      <w:r>
        <w:rPr>
          <w:rFonts w:hint="eastAsia"/>
          <w:b/>
          <w:color w:val="auto"/>
          <w:sz w:val="24"/>
          <w:szCs w:val="24"/>
        </w:rPr>
        <w:t>签订合同</w:t>
      </w:r>
    </w:p>
    <w:p w14:paraId="448890BD">
      <w:pPr>
        <w:spacing w:line="440" w:lineRule="exact"/>
        <w:ind w:firstLine="360"/>
        <w:rPr>
          <w:color w:val="auto"/>
          <w:sz w:val="24"/>
          <w:szCs w:val="24"/>
        </w:rPr>
      </w:pPr>
      <w:r>
        <w:rPr>
          <w:rFonts w:hint="eastAsia"/>
          <w:color w:val="auto"/>
          <w:sz w:val="24"/>
          <w:szCs w:val="24"/>
        </w:rPr>
        <w:t>1.l 成交供应商应当在中标（成交）通知书发出之日起十五日（最长不超过三十日）内，按照磋商文件确定的事项与采购人签订政府采购合同。</w:t>
      </w:r>
    </w:p>
    <w:p w14:paraId="46257036">
      <w:pPr>
        <w:spacing w:line="440" w:lineRule="exact"/>
        <w:ind w:firstLine="360"/>
        <w:rPr>
          <w:color w:val="auto"/>
          <w:sz w:val="24"/>
          <w:szCs w:val="24"/>
        </w:rPr>
      </w:pPr>
      <w:r>
        <w:rPr>
          <w:rFonts w:hint="eastAsia"/>
          <w:color w:val="auto"/>
          <w:sz w:val="24"/>
          <w:szCs w:val="24"/>
        </w:rPr>
        <w:t xml:space="preserve">1.2 </w:t>
      </w:r>
      <w:r>
        <w:rPr>
          <w:color w:val="auto"/>
          <w:sz w:val="24"/>
          <w:szCs w:val="24"/>
        </w:rPr>
        <w:t>磋商文件、成交供应商的响应文件</w:t>
      </w:r>
      <w:r>
        <w:rPr>
          <w:rFonts w:hint="eastAsia"/>
          <w:color w:val="auto"/>
          <w:sz w:val="24"/>
          <w:szCs w:val="24"/>
        </w:rPr>
        <w:t>及招标过程中有关澄清、承诺文件均应作为合同附件。</w:t>
      </w:r>
    </w:p>
    <w:p w14:paraId="254EA162">
      <w:pPr>
        <w:spacing w:line="440" w:lineRule="exact"/>
        <w:ind w:firstLine="360"/>
        <w:rPr>
          <w:color w:val="auto"/>
          <w:sz w:val="24"/>
          <w:szCs w:val="24"/>
        </w:rPr>
      </w:pPr>
      <w:r>
        <w:rPr>
          <w:rFonts w:hint="eastAsia"/>
          <w:color w:val="auto"/>
          <w:sz w:val="24"/>
          <w:szCs w:val="24"/>
        </w:rPr>
        <w:t>1.3</w:t>
      </w:r>
      <w:r>
        <w:rPr>
          <w:color w:val="auto"/>
          <w:sz w:val="24"/>
          <w:szCs w:val="24"/>
        </w:rPr>
        <w:t xml:space="preserve"> 如果成交供应商没有按照规定签订合同，其成交资格将被取消。在此情况下，合同可以授予下一个成交候选人（以此类推）或重新组织采购。</w:t>
      </w:r>
    </w:p>
    <w:p w14:paraId="5491F74E">
      <w:pPr>
        <w:spacing w:line="440" w:lineRule="exact"/>
        <w:ind w:firstLine="360"/>
        <w:rPr>
          <w:color w:val="auto"/>
          <w:sz w:val="24"/>
          <w:szCs w:val="24"/>
        </w:rPr>
      </w:pPr>
      <w:r>
        <w:rPr>
          <w:rFonts w:hint="eastAsia"/>
          <w:color w:val="auto"/>
          <w:sz w:val="24"/>
          <w:szCs w:val="24"/>
        </w:rPr>
        <w:t>1.4 签订合同后，</w:t>
      </w:r>
      <w:r>
        <w:rPr>
          <w:rFonts w:hint="eastAsia"/>
          <w:i/>
          <w:iCs/>
          <w:color w:val="auto"/>
          <w:sz w:val="24"/>
          <w:szCs w:val="24"/>
          <w:u w:val="single"/>
        </w:rPr>
        <w:t>成交供应商不得将合同标的进行转包</w:t>
      </w:r>
      <w:r>
        <w:rPr>
          <w:rFonts w:hint="eastAsia"/>
          <w:color w:val="auto"/>
          <w:sz w:val="24"/>
          <w:szCs w:val="24"/>
        </w:rPr>
        <w:t>。未经采购人同意，成交供应商也不得采用分包的形式履行合同，否则采购人有权终止合同。转包或分包造成采购人损失的，成交供应商应承担相应赔偿责任。</w:t>
      </w:r>
    </w:p>
    <w:p w14:paraId="7EC948D8">
      <w:pPr>
        <w:spacing w:line="440" w:lineRule="exact"/>
        <w:rPr>
          <w:b/>
          <w:color w:val="auto"/>
          <w:sz w:val="24"/>
          <w:szCs w:val="24"/>
        </w:rPr>
      </w:pPr>
      <w:r>
        <w:rPr>
          <w:b/>
          <w:color w:val="auto"/>
          <w:sz w:val="24"/>
          <w:szCs w:val="24"/>
        </w:rPr>
        <w:t>2、</w:t>
      </w:r>
      <w:r>
        <w:rPr>
          <w:rFonts w:hint="eastAsia"/>
          <w:b/>
          <w:color w:val="auto"/>
          <w:sz w:val="24"/>
          <w:szCs w:val="24"/>
        </w:rPr>
        <w:t>服务（包含与服务相关的货物）的追加</w:t>
      </w:r>
    </w:p>
    <w:p w14:paraId="0AFC7AB0">
      <w:pPr>
        <w:spacing w:line="440" w:lineRule="exact"/>
        <w:ind w:firstLine="360"/>
        <w:rPr>
          <w:color w:val="auto"/>
          <w:sz w:val="24"/>
          <w:szCs w:val="24"/>
        </w:rPr>
      </w:pPr>
      <w:r>
        <w:rPr>
          <w:color w:val="auto"/>
          <w:sz w:val="24"/>
          <w:szCs w:val="24"/>
        </w:rPr>
        <w:t xml:space="preserve">2.1 </w:t>
      </w:r>
      <w:r>
        <w:rPr>
          <w:rFonts w:hint="eastAsia"/>
          <w:color w:val="auto"/>
          <w:sz w:val="24"/>
          <w:szCs w:val="24"/>
        </w:rPr>
        <w:t>政府采购合同履行中，采购人需追加与合同标的相同的服务（包含与服务相关的货物）的，在不改变合同其他条款的前提下，可以与成交供应商协商签订补充合同，但所有补充合同的采购金额不超过原合同金额10%</w:t>
      </w:r>
      <w:r>
        <w:rPr>
          <w:color w:val="auto"/>
          <w:sz w:val="24"/>
          <w:szCs w:val="24"/>
        </w:rPr>
        <w:t>。</w:t>
      </w:r>
    </w:p>
    <w:p w14:paraId="12FB5AED">
      <w:pPr>
        <w:spacing w:line="440" w:lineRule="exact"/>
        <w:rPr>
          <w:b/>
          <w:color w:val="auto"/>
          <w:sz w:val="24"/>
          <w:szCs w:val="24"/>
        </w:rPr>
      </w:pPr>
      <w:r>
        <w:rPr>
          <w:b/>
          <w:color w:val="auto"/>
          <w:sz w:val="24"/>
          <w:szCs w:val="24"/>
        </w:rPr>
        <w:t>3、</w:t>
      </w:r>
      <w:r>
        <w:rPr>
          <w:rFonts w:hint="eastAsia"/>
          <w:b/>
          <w:color w:val="auto"/>
          <w:sz w:val="24"/>
          <w:szCs w:val="24"/>
        </w:rPr>
        <w:t>政府采购信用融资政策</w:t>
      </w:r>
    </w:p>
    <w:p w14:paraId="4FDBF749">
      <w:pPr>
        <w:spacing w:line="440" w:lineRule="exact"/>
        <w:ind w:firstLine="360"/>
        <w:rPr>
          <w:color w:val="auto"/>
          <w:sz w:val="24"/>
          <w:szCs w:val="24"/>
        </w:rPr>
      </w:pPr>
      <w:r>
        <w:rPr>
          <w:rFonts w:hint="eastAsia"/>
          <w:color w:val="auto"/>
          <w:sz w:val="24"/>
          <w:szCs w:val="24"/>
        </w:rPr>
        <w:t>3.1 成交供应商可凭政府采购合同办理融资贷款，详情请见苏州市政府采购网“政府采购合同信用融资”专栏。</w:t>
      </w:r>
    </w:p>
    <w:p w14:paraId="44AA8668">
      <w:pPr>
        <w:spacing w:line="440" w:lineRule="exact"/>
        <w:rPr>
          <w:b/>
          <w:color w:val="auto"/>
          <w:sz w:val="24"/>
          <w:szCs w:val="24"/>
        </w:rPr>
      </w:pPr>
      <w:r>
        <w:rPr>
          <w:rFonts w:hint="eastAsia"/>
          <w:b/>
          <w:color w:val="auto"/>
          <w:sz w:val="24"/>
          <w:szCs w:val="24"/>
        </w:rPr>
        <w:t>4</w:t>
      </w:r>
      <w:r>
        <w:rPr>
          <w:b/>
          <w:color w:val="auto"/>
          <w:sz w:val="24"/>
          <w:szCs w:val="24"/>
        </w:rPr>
        <w:t>、合同</w:t>
      </w:r>
      <w:r>
        <w:rPr>
          <w:rFonts w:hint="eastAsia"/>
          <w:b/>
          <w:color w:val="auto"/>
          <w:sz w:val="24"/>
          <w:szCs w:val="24"/>
        </w:rPr>
        <w:t>公示</w:t>
      </w:r>
    </w:p>
    <w:p w14:paraId="5CF32A48">
      <w:pPr>
        <w:spacing w:line="440" w:lineRule="exact"/>
        <w:ind w:firstLine="360"/>
        <w:rPr>
          <w:color w:val="auto"/>
          <w:sz w:val="24"/>
          <w:szCs w:val="24"/>
        </w:rPr>
      </w:pPr>
      <w:r>
        <w:rPr>
          <w:rFonts w:hint="eastAsia"/>
          <w:color w:val="auto"/>
          <w:sz w:val="24"/>
          <w:szCs w:val="24"/>
        </w:rPr>
        <w:t>4</w:t>
      </w:r>
      <w:r>
        <w:rPr>
          <w:color w:val="auto"/>
          <w:sz w:val="24"/>
          <w:szCs w:val="24"/>
        </w:rPr>
        <w:t>.1 采购合同</w:t>
      </w:r>
      <w:r>
        <w:rPr>
          <w:rFonts w:hint="eastAsia"/>
          <w:color w:val="auto"/>
          <w:sz w:val="24"/>
          <w:szCs w:val="24"/>
        </w:rPr>
        <w:t>将在</w:t>
      </w:r>
      <w:r>
        <w:rPr>
          <w:color w:val="auto"/>
          <w:sz w:val="24"/>
          <w:szCs w:val="24"/>
        </w:rPr>
        <w:t>签订</w:t>
      </w:r>
      <w:r>
        <w:rPr>
          <w:rFonts w:hint="eastAsia"/>
          <w:color w:val="auto"/>
          <w:sz w:val="24"/>
          <w:szCs w:val="24"/>
        </w:rPr>
        <w:t>之日起2个工作日内在指定媒体公示，涉及国家秘密、商业秘密的内容除外</w:t>
      </w:r>
      <w:r>
        <w:rPr>
          <w:color w:val="auto"/>
          <w:sz w:val="24"/>
          <w:szCs w:val="24"/>
        </w:rPr>
        <w:t>。</w:t>
      </w:r>
    </w:p>
    <w:p w14:paraId="77A9F893">
      <w:pPr>
        <w:pStyle w:val="22"/>
        <w:ind w:firstLine="240"/>
        <w:rPr>
          <w:rFonts w:ascii="Times New Roman" w:hAnsi="Times New Roman" w:eastAsia="宋体"/>
          <w:color w:val="auto"/>
          <w:sz w:val="24"/>
          <w:szCs w:val="24"/>
        </w:rPr>
      </w:pPr>
    </w:p>
    <w:p w14:paraId="4EB2193C">
      <w:pPr>
        <w:spacing w:line="440" w:lineRule="exact"/>
        <w:ind w:firstLine="480"/>
        <w:jc w:val="left"/>
        <w:rPr>
          <w:color w:val="auto"/>
          <w:sz w:val="24"/>
        </w:rPr>
      </w:pPr>
    </w:p>
    <w:p w14:paraId="217EFA20">
      <w:pPr>
        <w:pStyle w:val="4"/>
        <w:ind w:firstLine="904"/>
        <w:rPr>
          <w:rFonts w:ascii="Times New Roman" w:hAnsi="Times New Roman"/>
          <w:color w:val="auto"/>
        </w:rPr>
      </w:pPr>
      <w:r>
        <w:rPr>
          <w:rFonts w:ascii="Times New Roman" w:hAnsi="Times New Roman"/>
          <w:color w:val="auto"/>
        </w:rPr>
        <w:br w:type="page" w:clear="all"/>
      </w:r>
      <w:bookmarkStart w:id="66" w:name="_Toc28138"/>
      <w:bookmarkStart w:id="67" w:name="_Toc4802"/>
      <w:bookmarkStart w:id="68" w:name="_Toc13850"/>
      <w:bookmarkStart w:id="69" w:name="_Hlk211343003"/>
      <w:r>
        <w:rPr>
          <w:rFonts w:ascii="Times New Roman" w:hAnsi="Times New Roman"/>
          <w:color w:val="auto"/>
        </w:rPr>
        <w:t>第</w:t>
      </w:r>
      <w:r>
        <w:rPr>
          <w:rFonts w:hint="eastAsia" w:ascii="Times New Roman" w:hAnsi="Times New Roman"/>
          <w:color w:val="auto"/>
        </w:rPr>
        <w:t>三</w:t>
      </w:r>
      <w:r>
        <w:rPr>
          <w:rFonts w:ascii="Times New Roman" w:hAnsi="Times New Roman"/>
          <w:color w:val="auto"/>
        </w:rPr>
        <w:t>章  合同</w:t>
      </w:r>
      <w:r>
        <w:rPr>
          <w:rFonts w:hint="eastAsia" w:ascii="Times New Roman" w:hAnsi="Times New Roman"/>
          <w:color w:val="auto"/>
        </w:rPr>
        <w:t>文本</w:t>
      </w:r>
      <w:bookmarkEnd w:id="66"/>
      <w:bookmarkEnd w:id="67"/>
      <w:bookmarkEnd w:id="68"/>
    </w:p>
    <w:p w14:paraId="1F4E639C">
      <w:pPr>
        <w:spacing w:line="440" w:lineRule="exact"/>
        <w:ind w:right="480" w:firstLine="7320"/>
        <w:rPr>
          <w:color w:val="auto"/>
          <w:sz w:val="24"/>
          <w:szCs w:val="24"/>
        </w:rPr>
      </w:pPr>
    </w:p>
    <w:p w14:paraId="1D50242D">
      <w:pPr>
        <w:spacing w:line="440" w:lineRule="exact"/>
        <w:ind w:right="480" w:firstLine="7320"/>
        <w:rPr>
          <w:color w:val="auto"/>
          <w:sz w:val="24"/>
          <w:szCs w:val="24"/>
        </w:rPr>
      </w:pPr>
      <w:r>
        <w:rPr>
          <w:color w:val="auto"/>
          <w:sz w:val="24"/>
          <w:szCs w:val="24"/>
        </w:rPr>
        <w:t>合同编号：</w:t>
      </w:r>
    </w:p>
    <w:p w14:paraId="26889749">
      <w:pPr>
        <w:spacing w:line="440" w:lineRule="exact"/>
        <w:ind w:firstLine="7320"/>
        <w:rPr>
          <w:color w:val="auto"/>
          <w:sz w:val="24"/>
          <w:szCs w:val="24"/>
        </w:rPr>
      </w:pPr>
      <w:r>
        <w:rPr>
          <w:color w:val="auto"/>
          <w:sz w:val="24"/>
          <w:szCs w:val="24"/>
        </w:rPr>
        <w:t>签订地点：常熟市</w:t>
      </w:r>
    </w:p>
    <w:p w14:paraId="61208331">
      <w:pPr>
        <w:spacing w:line="420" w:lineRule="exact"/>
        <w:jc w:val="left"/>
        <w:rPr>
          <w:color w:val="auto"/>
          <w:sz w:val="28"/>
          <w:szCs w:val="28"/>
        </w:rPr>
      </w:pPr>
      <w:r>
        <w:rPr>
          <w:b/>
          <w:color w:val="auto"/>
          <w:sz w:val="28"/>
          <w:szCs w:val="28"/>
        </w:rPr>
        <w:t>甲方（采购人）</w:t>
      </w:r>
      <w:r>
        <w:rPr>
          <w:color w:val="auto"/>
          <w:sz w:val="28"/>
          <w:szCs w:val="28"/>
        </w:rPr>
        <w:t>：</w:t>
      </w:r>
      <w:r>
        <w:rPr>
          <w:color w:val="auto"/>
          <w:sz w:val="28"/>
          <w:szCs w:val="28"/>
          <w:u w:val="single"/>
        </w:rPr>
        <w:t xml:space="preserve">                        </w:t>
      </w:r>
    </w:p>
    <w:p w14:paraId="3755C711">
      <w:pPr>
        <w:spacing w:line="420" w:lineRule="exact"/>
        <w:jc w:val="left"/>
        <w:rPr>
          <w:color w:val="auto"/>
          <w:sz w:val="28"/>
          <w:szCs w:val="28"/>
          <w:u w:val="single"/>
        </w:rPr>
      </w:pPr>
      <w:r>
        <w:rPr>
          <w:b/>
          <w:color w:val="auto"/>
          <w:sz w:val="28"/>
          <w:szCs w:val="28"/>
        </w:rPr>
        <w:t>乙方（成交供应商）</w:t>
      </w:r>
      <w:r>
        <w:rPr>
          <w:color w:val="auto"/>
          <w:sz w:val="28"/>
          <w:szCs w:val="28"/>
        </w:rPr>
        <w:t>：</w:t>
      </w:r>
      <w:r>
        <w:rPr>
          <w:color w:val="auto"/>
          <w:sz w:val="28"/>
          <w:szCs w:val="28"/>
          <w:u w:val="single"/>
        </w:rPr>
        <w:t xml:space="preserve">                    </w:t>
      </w:r>
    </w:p>
    <w:p w14:paraId="70C2AFF7">
      <w:pPr>
        <w:spacing w:line="440" w:lineRule="exact"/>
        <w:rPr>
          <w:b/>
          <w:color w:val="auto"/>
          <w:sz w:val="28"/>
          <w:szCs w:val="28"/>
        </w:rPr>
      </w:pPr>
      <w:r>
        <w:rPr>
          <w:rFonts w:hint="eastAsia"/>
          <w:b/>
          <w:color w:val="auto"/>
          <w:sz w:val="28"/>
          <w:szCs w:val="28"/>
        </w:rPr>
        <w:t>信用融资回款账户：</w:t>
      </w:r>
      <w:r>
        <w:rPr>
          <w:color w:val="auto"/>
          <w:sz w:val="28"/>
          <w:szCs w:val="28"/>
          <w:u w:val="single"/>
        </w:rPr>
        <w:t xml:space="preserve">                      </w:t>
      </w:r>
    </w:p>
    <w:p w14:paraId="77E579EF">
      <w:pPr>
        <w:spacing w:line="440" w:lineRule="exact"/>
        <w:rPr>
          <w:rFonts w:cs="宋体"/>
          <w:bCs/>
          <w:color w:val="auto"/>
          <w:sz w:val="24"/>
          <w:szCs w:val="24"/>
        </w:rPr>
      </w:pPr>
      <w:r>
        <w:rPr>
          <w:rFonts w:hint="eastAsia"/>
          <w:b/>
          <w:color w:val="auto"/>
          <w:sz w:val="28"/>
          <w:szCs w:val="28"/>
        </w:rPr>
        <w:t>开户银行：</w:t>
      </w:r>
      <w:r>
        <w:rPr>
          <w:color w:val="auto"/>
          <w:sz w:val="28"/>
          <w:szCs w:val="28"/>
          <w:u w:val="single"/>
        </w:rPr>
        <w:t xml:space="preserve">                   </w:t>
      </w:r>
      <w:r>
        <w:rPr>
          <w:rFonts w:hint="eastAsia"/>
          <w:color w:val="auto"/>
          <w:sz w:val="28"/>
          <w:szCs w:val="28"/>
          <w:u w:val="single"/>
        </w:rPr>
        <w:t xml:space="preserve">      </w:t>
      </w:r>
      <w:r>
        <w:rPr>
          <w:color w:val="auto"/>
          <w:sz w:val="28"/>
          <w:szCs w:val="28"/>
          <w:u w:val="single"/>
        </w:rPr>
        <w:t xml:space="preserve">     </w:t>
      </w:r>
    </w:p>
    <w:p w14:paraId="3983B28C">
      <w:pPr>
        <w:spacing w:line="420" w:lineRule="exact"/>
        <w:ind w:firstLine="700"/>
        <w:jc w:val="left"/>
        <w:rPr>
          <w:color w:val="auto"/>
          <w:sz w:val="28"/>
          <w:szCs w:val="28"/>
        </w:rPr>
      </w:pPr>
    </w:p>
    <w:p w14:paraId="0C656DEB">
      <w:pPr>
        <w:spacing w:line="480" w:lineRule="exact"/>
        <w:ind w:firstLine="480"/>
        <w:rPr>
          <w:color w:val="auto"/>
          <w:sz w:val="24"/>
        </w:rPr>
      </w:pPr>
      <w:r>
        <w:rPr>
          <w:color w:val="auto"/>
          <w:sz w:val="24"/>
          <w:szCs w:val="24"/>
        </w:rPr>
        <w:t>根据《中华人民共和国政府采购法》及其实施条例、《中华人民共和国民法典》等法律法规的规定</w:t>
      </w:r>
      <w:r>
        <w:rPr>
          <w:color w:val="auto"/>
          <w:sz w:val="24"/>
        </w:rPr>
        <w:t>，甲乙双方按照</w:t>
      </w:r>
      <w:r>
        <w:rPr>
          <w:rFonts w:hint="eastAsia"/>
          <w:color w:val="auto"/>
          <w:sz w:val="24"/>
        </w:rPr>
        <w:t>苏州新天平工程咨询有限公司</w:t>
      </w:r>
      <w:r>
        <w:rPr>
          <w:rFonts w:hint="eastAsia"/>
          <w:color w:val="auto"/>
          <w:sz w:val="24"/>
          <w:szCs w:val="22"/>
          <w:u w:val="single"/>
        </w:rPr>
        <w:t>2026年度江苏省预算管理一体化系统常熟地区实施及运维服务</w:t>
      </w:r>
      <w:r>
        <w:rPr>
          <w:color w:val="auto"/>
          <w:sz w:val="24"/>
          <w:u w:val="single"/>
        </w:rPr>
        <w:t>（项目编号：</w:t>
      </w:r>
      <w:r>
        <w:rPr>
          <w:rFonts w:hint="eastAsia"/>
          <w:color w:val="auto"/>
          <w:sz w:val="24"/>
          <w:u w:val="single"/>
          <w:lang w:eastAsia="zh-CN"/>
        </w:rPr>
        <w:t>JSZC-320581-XTPC-C2025-0040</w:t>
      </w:r>
      <w:r>
        <w:rPr>
          <w:color w:val="auto"/>
          <w:sz w:val="24"/>
          <w:u w:val="single"/>
        </w:rPr>
        <w:t>）</w:t>
      </w:r>
      <w:r>
        <w:rPr>
          <w:color w:val="auto"/>
          <w:sz w:val="24"/>
        </w:rPr>
        <w:t>磋商结果签订本合同。</w:t>
      </w:r>
    </w:p>
    <w:p w14:paraId="2A3687AB">
      <w:pPr>
        <w:spacing w:line="480" w:lineRule="exact"/>
        <w:ind w:firstLine="482"/>
        <w:rPr>
          <w:b/>
          <w:color w:val="auto"/>
          <w:sz w:val="24"/>
        </w:rPr>
      </w:pPr>
      <w:r>
        <w:rPr>
          <w:b/>
          <w:color w:val="auto"/>
          <w:sz w:val="24"/>
        </w:rPr>
        <w:t>第一条  定义</w:t>
      </w:r>
    </w:p>
    <w:p w14:paraId="08FF86E9">
      <w:pPr>
        <w:spacing w:line="480" w:lineRule="exact"/>
        <w:ind w:firstLine="470"/>
        <w:rPr>
          <w:color w:val="auto"/>
          <w:sz w:val="24"/>
        </w:rPr>
      </w:pPr>
      <w:r>
        <w:rPr>
          <w:color w:val="auto"/>
          <w:sz w:val="24"/>
        </w:rPr>
        <w:t>除非另有特别解释或说明，本合同有关词语应按如下定义解释：</w:t>
      </w:r>
    </w:p>
    <w:p w14:paraId="4DE75FAD">
      <w:pPr>
        <w:spacing w:line="480" w:lineRule="exact"/>
        <w:ind w:firstLine="480"/>
        <w:jc w:val="left"/>
        <w:rPr>
          <w:color w:val="auto"/>
          <w:sz w:val="24"/>
          <w:szCs w:val="24"/>
        </w:rPr>
      </w:pPr>
      <w:r>
        <w:rPr>
          <w:rFonts w:hint="eastAsia"/>
          <w:color w:val="auto"/>
          <w:sz w:val="24"/>
          <w:szCs w:val="24"/>
        </w:rPr>
        <w:t>1、</w:t>
      </w:r>
      <w:r>
        <w:rPr>
          <w:color w:val="auto"/>
          <w:sz w:val="24"/>
          <w:szCs w:val="24"/>
        </w:rPr>
        <w:t>合同</w:t>
      </w:r>
      <w:r>
        <w:rPr>
          <w:rFonts w:hint="eastAsia"/>
          <w:color w:val="auto"/>
          <w:sz w:val="24"/>
          <w:szCs w:val="24"/>
        </w:rPr>
        <w:t>：甲乙双方签署的，与本项目相关的合同书、协议、附件、附录、其他一切文件以及政府采购程序中的全部文件。</w:t>
      </w:r>
    </w:p>
    <w:p w14:paraId="404E512E">
      <w:pPr>
        <w:spacing w:line="480" w:lineRule="exact"/>
        <w:ind w:firstLine="480"/>
        <w:jc w:val="left"/>
        <w:rPr>
          <w:color w:val="auto"/>
          <w:sz w:val="24"/>
          <w:szCs w:val="24"/>
        </w:rPr>
      </w:pPr>
      <w:r>
        <w:rPr>
          <w:rFonts w:hint="eastAsia"/>
          <w:color w:val="auto"/>
          <w:sz w:val="24"/>
          <w:szCs w:val="24"/>
        </w:rPr>
        <w:t>2、甲方：购买本合同项下服务的国家机关、事业单位、团体组织。</w:t>
      </w:r>
    </w:p>
    <w:p w14:paraId="178D29AE">
      <w:pPr>
        <w:spacing w:line="480" w:lineRule="exact"/>
        <w:ind w:firstLine="480"/>
        <w:jc w:val="left"/>
        <w:rPr>
          <w:color w:val="auto"/>
          <w:sz w:val="24"/>
          <w:szCs w:val="24"/>
        </w:rPr>
      </w:pPr>
      <w:r>
        <w:rPr>
          <w:rFonts w:hint="eastAsia"/>
          <w:color w:val="auto"/>
          <w:sz w:val="24"/>
          <w:szCs w:val="24"/>
        </w:rPr>
        <w:t>3、乙方：提供本合同项下服务的法人、其他组织或自然人。</w:t>
      </w:r>
    </w:p>
    <w:p w14:paraId="1D84B521">
      <w:pPr>
        <w:spacing w:line="480" w:lineRule="exact"/>
        <w:ind w:firstLine="480"/>
        <w:jc w:val="left"/>
        <w:rPr>
          <w:color w:val="auto"/>
          <w:sz w:val="24"/>
          <w:szCs w:val="24"/>
        </w:rPr>
      </w:pPr>
      <w:r>
        <w:rPr>
          <w:rFonts w:hint="eastAsia"/>
          <w:color w:val="auto"/>
          <w:sz w:val="24"/>
          <w:szCs w:val="24"/>
        </w:rPr>
        <w:t>4、服务：根据合同规定乙方承担的与2026年度江苏省预算管理一体化系统常熟地区实施及运维服务相关的工作。</w:t>
      </w:r>
    </w:p>
    <w:p w14:paraId="07258051">
      <w:pPr>
        <w:spacing w:line="480" w:lineRule="exact"/>
        <w:ind w:firstLine="480"/>
        <w:jc w:val="left"/>
        <w:rPr>
          <w:color w:val="auto"/>
          <w:sz w:val="24"/>
          <w:szCs w:val="24"/>
        </w:rPr>
      </w:pPr>
      <w:r>
        <w:rPr>
          <w:rFonts w:hint="eastAsia"/>
          <w:color w:val="auto"/>
          <w:sz w:val="24"/>
          <w:szCs w:val="24"/>
        </w:rPr>
        <w:t>5、合同总价：根据合同规定乙方在正确地完全履行合同义务后甲方应支付给乙方的价格，包含了甲方购买合同项下相关服务的一切费用。</w:t>
      </w:r>
    </w:p>
    <w:p w14:paraId="44B86849">
      <w:pPr>
        <w:spacing w:line="480" w:lineRule="exact"/>
        <w:ind w:firstLine="482"/>
        <w:rPr>
          <w:b/>
          <w:color w:val="auto"/>
          <w:sz w:val="24"/>
        </w:rPr>
      </w:pPr>
      <w:r>
        <w:rPr>
          <w:b/>
          <w:color w:val="auto"/>
          <w:sz w:val="24"/>
        </w:rPr>
        <w:t>第二条  组成本合同的文件</w:t>
      </w:r>
    </w:p>
    <w:p w14:paraId="71858F95">
      <w:pPr>
        <w:spacing w:line="480" w:lineRule="exact"/>
        <w:ind w:firstLine="480"/>
        <w:rPr>
          <w:color w:val="auto"/>
          <w:sz w:val="24"/>
          <w:szCs w:val="24"/>
        </w:rPr>
      </w:pPr>
      <w:r>
        <w:rPr>
          <w:rFonts w:hint="eastAsia"/>
          <w:color w:val="auto"/>
          <w:sz w:val="24"/>
          <w:szCs w:val="24"/>
        </w:rPr>
        <w:t>1、下列文件是组成本合同的不可分割的部分：</w:t>
      </w:r>
    </w:p>
    <w:p w14:paraId="2BE249E1">
      <w:pPr>
        <w:spacing w:line="480" w:lineRule="exact"/>
        <w:ind w:firstLine="480"/>
        <w:rPr>
          <w:color w:val="auto"/>
          <w:sz w:val="24"/>
          <w:szCs w:val="24"/>
        </w:rPr>
      </w:pPr>
      <w:r>
        <w:rPr>
          <w:rFonts w:hint="eastAsia"/>
          <w:color w:val="auto"/>
          <w:sz w:val="24"/>
          <w:szCs w:val="24"/>
        </w:rPr>
        <w:t>①</w:t>
      </w:r>
      <w:r>
        <w:rPr>
          <w:color w:val="auto"/>
          <w:sz w:val="24"/>
          <w:szCs w:val="24"/>
        </w:rPr>
        <w:t>中标（成交）</w:t>
      </w:r>
      <w:r>
        <w:rPr>
          <w:rFonts w:hint="eastAsia"/>
          <w:color w:val="auto"/>
          <w:sz w:val="24"/>
          <w:szCs w:val="24"/>
        </w:rPr>
        <w:t>通知书；</w:t>
      </w:r>
    </w:p>
    <w:p w14:paraId="2339153B">
      <w:pPr>
        <w:spacing w:line="480" w:lineRule="exact"/>
        <w:ind w:firstLine="480"/>
        <w:rPr>
          <w:color w:val="auto"/>
          <w:sz w:val="24"/>
          <w:szCs w:val="24"/>
        </w:rPr>
      </w:pPr>
      <w:r>
        <w:rPr>
          <w:rFonts w:hint="eastAsia"/>
          <w:color w:val="auto"/>
          <w:sz w:val="24"/>
          <w:szCs w:val="24"/>
        </w:rPr>
        <w:t>②磋商文件（以下统称“采购文件”）；</w:t>
      </w:r>
    </w:p>
    <w:p w14:paraId="5FF03FC4">
      <w:pPr>
        <w:spacing w:line="480" w:lineRule="exact"/>
        <w:ind w:firstLine="480"/>
        <w:rPr>
          <w:color w:val="auto"/>
          <w:sz w:val="24"/>
          <w:szCs w:val="24"/>
        </w:rPr>
      </w:pPr>
      <w:r>
        <w:rPr>
          <w:rFonts w:hint="eastAsia"/>
          <w:color w:val="auto"/>
          <w:sz w:val="24"/>
          <w:szCs w:val="24"/>
        </w:rPr>
        <w:t>③乙方的响应文件；</w:t>
      </w:r>
    </w:p>
    <w:p w14:paraId="1ECB190C">
      <w:pPr>
        <w:spacing w:line="480" w:lineRule="exact"/>
        <w:ind w:firstLine="480"/>
        <w:rPr>
          <w:color w:val="auto"/>
          <w:sz w:val="24"/>
          <w:szCs w:val="24"/>
        </w:rPr>
      </w:pPr>
      <w:r>
        <w:rPr>
          <w:rFonts w:hint="eastAsia"/>
          <w:color w:val="auto"/>
          <w:sz w:val="24"/>
          <w:szCs w:val="24"/>
        </w:rPr>
        <w:t>④乙方在报价过程中所作的其它承诺、声明、书面澄清等。</w:t>
      </w:r>
    </w:p>
    <w:p w14:paraId="708CA8D7">
      <w:pPr>
        <w:spacing w:line="480" w:lineRule="exact"/>
        <w:ind w:firstLine="480"/>
        <w:rPr>
          <w:color w:val="auto"/>
          <w:sz w:val="24"/>
          <w:szCs w:val="24"/>
        </w:rPr>
      </w:pPr>
      <w:bookmarkStart w:id="70" w:name="_Hlk144021334"/>
      <w:r>
        <w:rPr>
          <w:rFonts w:hint="eastAsia"/>
          <w:color w:val="auto"/>
          <w:sz w:val="24"/>
          <w:szCs w:val="24"/>
        </w:rPr>
        <w:t>2、上述文件之间如果出现不一致的，以甲方文件确定的内容为准，但乙方文件的内容对甲方更有利的，适用乙方文件。</w:t>
      </w:r>
    </w:p>
    <w:p w14:paraId="5F3624E2">
      <w:pPr>
        <w:spacing w:line="480" w:lineRule="exact"/>
        <w:ind w:firstLine="480"/>
        <w:rPr>
          <w:color w:val="auto"/>
          <w:sz w:val="24"/>
          <w:szCs w:val="24"/>
        </w:rPr>
      </w:pPr>
      <w:r>
        <w:rPr>
          <w:rFonts w:hint="eastAsia"/>
          <w:color w:val="auto"/>
          <w:sz w:val="24"/>
          <w:szCs w:val="24"/>
        </w:rPr>
        <w:t>3、乙方文件应当符合采购文件确定的原则，如果乙方文件中的表述，形式上符合磋商文件原则，但具体内容对甲方不利、对乙方有利的，视为背离采购文件，不予适用。</w:t>
      </w:r>
      <w:bookmarkEnd w:id="70"/>
    </w:p>
    <w:p w14:paraId="3B31D7C8">
      <w:pPr>
        <w:spacing w:line="480" w:lineRule="exact"/>
        <w:ind w:firstLine="482"/>
        <w:rPr>
          <w:b/>
          <w:color w:val="auto"/>
          <w:sz w:val="24"/>
        </w:rPr>
      </w:pPr>
      <w:r>
        <w:rPr>
          <w:b/>
          <w:color w:val="auto"/>
          <w:sz w:val="24"/>
        </w:rPr>
        <w:t>第三条  合同内容</w:t>
      </w:r>
    </w:p>
    <w:p w14:paraId="022FD9CB">
      <w:pPr>
        <w:spacing w:line="440" w:lineRule="exact"/>
        <w:ind w:firstLine="480"/>
        <w:rPr>
          <w:color w:val="auto"/>
          <w:sz w:val="24"/>
          <w:szCs w:val="24"/>
        </w:rPr>
      </w:pPr>
      <w:r>
        <w:rPr>
          <w:rFonts w:hint="eastAsia"/>
          <w:color w:val="auto"/>
          <w:sz w:val="24"/>
          <w:szCs w:val="24"/>
        </w:rPr>
        <w:t>1、服务内容：常熟市财政局</w:t>
      </w:r>
      <w:r>
        <w:rPr>
          <w:color w:val="auto"/>
          <w:sz w:val="24"/>
          <w:szCs w:val="24"/>
        </w:rPr>
        <w:t>所需的</w:t>
      </w:r>
      <w:r>
        <w:rPr>
          <w:rFonts w:hint="eastAsia"/>
          <w:color w:val="auto"/>
          <w:sz w:val="24"/>
          <w:szCs w:val="24"/>
        </w:rPr>
        <w:t>2026年度江苏省预算管理一体化系统常熟地区实施及运维服务。</w:t>
      </w:r>
    </w:p>
    <w:p w14:paraId="00C2F4D3">
      <w:pPr>
        <w:spacing w:line="480" w:lineRule="exact"/>
        <w:ind w:firstLine="480"/>
        <w:rPr>
          <w:color w:val="auto"/>
          <w:sz w:val="24"/>
          <w:szCs w:val="24"/>
        </w:rPr>
      </w:pPr>
      <w:r>
        <w:rPr>
          <w:rFonts w:hint="eastAsia"/>
          <w:color w:val="auto"/>
          <w:sz w:val="24"/>
          <w:szCs w:val="24"/>
        </w:rPr>
        <w:t>2、服务完成期限：自合同签订之日起1年。</w:t>
      </w:r>
    </w:p>
    <w:p w14:paraId="5236FF59">
      <w:pPr>
        <w:spacing w:line="480" w:lineRule="exact"/>
        <w:ind w:firstLine="482"/>
        <w:rPr>
          <w:b/>
          <w:color w:val="auto"/>
          <w:sz w:val="24"/>
        </w:rPr>
      </w:pPr>
      <w:r>
        <w:rPr>
          <w:b/>
          <w:color w:val="auto"/>
          <w:sz w:val="24"/>
        </w:rPr>
        <w:t>第四条  合同总价</w:t>
      </w:r>
    </w:p>
    <w:p w14:paraId="22EEC8C1">
      <w:pPr>
        <w:spacing w:line="480" w:lineRule="exact"/>
        <w:ind w:firstLine="480"/>
        <w:rPr>
          <w:color w:val="auto"/>
          <w:sz w:val="24"/>
          <w:szCs w:val="24"/>
        </w:rPr>
      </w:pPr>
      <w:r>
        <w:rPr>
          <w:rFonts w:hint="eastAsia"/>
          <w:color w:val="auto"/>
          <w:sz w:val="24"/>
          <w:szCs w:val="24"/>
        </w:rPr>
        <w:t>1、本合同项下服务总费用（合同总价）为人民币</w:t>
      </w:r>
      <w:r>
        <w:rPr>
          <w:rFonts w:hint="eastAsia"/>
          <w:color w:val="auto"/>
          <w:sz w:val="24"/>
          <w:szCs w:val="24"/>
          <w:u w:val="single"/>
        </w:rPr>
        <w:t xml:space="preserve">             </w:t>
      </w:r>
      <w:r>
        <w:rPr>
          <w:rFonts w:hint="eastAsia"/>
          <w:color w:val="auto"/>
          <w:sz w:val="24"/>
          <w:szCs w:val="24"/>
        </w:rPr>
        <w:t>元整（大写）。</w:t>
      </w:r>
    </w:p>
    <w:p w14:paraId="3D98492A">
      <w:pPr>
        <w:spacing w:line="480" w:lineRule="exact"/>
        <w:ind w:firstLine="482"/>
        <w:rPr>
          <w:b/>
          <w:color w:val="auto"/>
          <w:sz w:val="24"/>
          <w:szCs w:val="24"/>
        </w:rPr>
      </w:pPr>
      <w:r>
        <w:rPr>
          <w:rFonts w:hint="eastAsia"/>
          <w:b/>
          <w:color w:val="auto"/>
          <w:sz w:val="24"/>
          <w:szCs w:val="24"/>
        </w:rPr>
        <w:t>2、本合同执行期间，合同总价不变。</w:t>
      </w:r>
    </w:p>
    <w:p w14:paraId="163B9AD0">
      <w:pPr>
        <w:spacing w:line="480" w:lineRule="exact"/>
        <w:ind w:firstLine="482"/>
        <w:rPr>
          <w:i/>
          <w:iCs/>
          <w:color w:val="auto"/>
          <w:sz w:val="24"/>
          <w:szCs w:val="24"/>
          <w:u w:val="single"/>
        </w:rPr>
      </w:pPr>
      <w:r>
        <w:rPr>
          <w:b/>
          <w:i/>
          <w:iCs/>
          <w:color w:val="auto"/>
          <w:sz w:val="24"/>
          <w:u w:val="single"/>
        </w:rPr>
        <w:t>第</w:t>
      </w:r>
      <w:r>
        <w:rPr>
          <w:rFonts w:hint="eastAsia"/>
          <w:b/>
          <w:i/>
          <w:iCs/>
          <w:color w:val="auto"/>
          <w:sz w:val="24"/>
          <w:u w:val="single"/>
        </w:rPr>
        <w:t>五</w:t>
      </w:r>
      <w:r>
        <w:rPr>
          <w:b/>
          <w:i/>
          <w:iCs/>
          <w:color w:val="auto"/>
          <w:sz w:val="24"/>
          <w:u w:val="single"/>
        </w:rPr>
        <w:t xml:space="preserve">条 </w:t>
      </w:r>
      <w:r>
        <w:rPr>
          <w:b/>
          <w:i/>
          <w:iCs/>
          <w:color w:val="auto"/>
          <w:sz w:val="24"/>
          <w:szCs w:val="22"/>
          <w:u w:val="single"/>
        </w:rPr>
        <w:t xml:space="preserve"> </w:t>
      </w:r>
      <w:r>
        <w:rPr>
          <w:rFonts w:hint="eastAsia"/>
          <w:b/>
          <w:i/>
          <w:iCs/>
          <w:color w:val="auto"/>
          <w:sz w:val="24"/>
          <w:u w:val="single"/>
        </w:rPr>
        <w:t>付款</w:t>
      </w:r>
      <w:r>
        <w:rPr>
          <w:b/>
          <w:i/>
          <w:iCs/>
          <w:color w:val="auto"/>
          <w:sz w:val="24"/>
          <w:u w:val="single"/>
        </w:rPr>
        <w:t>方式</w:t>
      </w:r>
    </w:p>
    <w:p w14:paraId="07AEED24">
      <w:pPr>
        <w:spacing w:line="480" w:lineRule="exact"/>
        <w:ind w:firstLine="480"/>
        <w:rPr>
          <w:i/>
          <w:iCs/>
          <w:color w:val="auto"/>
          <w:sz w:val="24"/>
          <w:szCs w:val="24"/>
          <w:u w:val="single"/>
        </w:rPr>
      </w:pPr>
      <w:bookmarkStart w:id="71" w:name="OLE_LINK27"/>
      <w:r>
        <w:rPr>
          <w:rFonts w:hint="eastAsia"/>
          <w:i/>
          <w:iCs/>
          <w:color w:val="auto"/>
          <w:sz w:val="24"/>
          <w:szCs w:val="24"/>
          <w:u w:val="single"/>
        </w:rPr>
        <w:t>1、本项目合同款支付货币：（√）数字人民币，（√）传统实物人民币。</w:t>
      </w:r>
      <w:bookmarkStart w:id="72" w:name="_Hlk160633761"/>
    </w:p>
    <w:bookmarkEnd w:id="72"/>
    <w:p w14:paraId="5CCC2DCE">
      <w:pPr>
        <w:spacing w:line="480" w:lineRule="exact"/>
        <w:ind w:firstLine="480"/>
        <w:rPr>
          <w:i/>
          <w:iCs/>
          <w:color w:val="auto"/>
          <w:sz w:val="24"/>
          <w:szCs w:val="24"/>
          <w:u w:val="single"/>
        </w:rPr>
      </w:pPr>
      <w:r>
        <w:rPr>
          <w:rFonts w:hint="eastAsia"/>
          <w:i/>
          <w:iCs/>
          <w:color w:val="auto"/>
          <w:sz w:val="24"/>
          <w:szCs w:val="24"/>
          <w:u w:val="single"/>
        </w:rPr>
        <w:t>2、合同签订后甲方向乙方预付合同总价的</w:t>
      </w:r>
      <w:r>
        <w:rPr>
          <w:i/>
          <w:iCs/>
          <w:color w:val="auto"/>
          <w:sz w:val="24"/>
          <w:szCs w:val="24"/>
          <w:u w:val="single"/>
        </w:rPr>
        <w:t>10</w:t>
      </w:r>
      <w:r>
        <w:rPr>
          <w:rFonts w:hint="eastAsia"/>
          <w:i/>
          <w:iCs/>
          <w:color w:val="auto"/>
          <w:sz w:val="24"/>
          <w:szCs w:val="24"/>
          <w:u w:val="single"/>
        </w:rPr>
        <w:t>%；</w:t>
      </w:r>
    </w:p>
    <w:p w14:paraId="20062CBA">
      <w:pPr>
        <w:spacing w:line="480" w:lineRule="exact"/>
        <w:ind w:firstLine="480"/>
        <w:rPr>
          <w:i/>
          <w:iCs/>
          <w:color w:val="auto"/>
          <w:sz w:val="24"/>
          <w:szCs w:val="24"/>
          <w:u w:val="single"/>
        </w:rPr>
      </w:pPr>
      <w:r>
        <w:rPr>
          <w:rFonts w:hint="eastAsia"/>
          <w:i/>
          <w:iCs/>
          <w:color w:val="auto"/>
          <w:sz w:val="24"/>
          <w:szCs w:val="24"/>
          <w:u w:val="single"/>
        </w:rPr>
        <w:t>3、2026年6月30日之前甲方向乙方支付合同总价的</w:t>
      </w:r>
      <w:r>
        <w:rPr>
          <w:i/>
          <w:iCs/>
          <w:color w:val="auto"/>
          <w:sz w:val="24"/>
          <w:szCs w:val="24"/>
          <w:u w:val="single"/>
        </w:rPr>
        <w:t>5</w:t>
      </w:r>
      <w:r>
        <w:rPr>
          <w:rFonts w:hint="eastAsia"/>
          <w:i/>
          <w:iCs/>
          <w:color w:val="auto"/>
          <w:sz w:val="24"/>
          <w:szCs w:val="24"/>
          <w:u w:val="single"/>
        </w:rPr>
        <w:t>0%；</w:t>
      </w:r>
    </w:p>
    <w:p w14:paraId="27EE9CD6">
      <w:pPr>
        <w:spacing w:line="480" w:lineRule="exact"/>
        <w:ind w:firstLine="480"/>
        <w:rPr>
          <w:i/>
          <w:iCs/>
          <w:color w:val="auto"/>
          <w:sz w:val="24"/>
          <w:szCs w:val="24"/>
          <w:u w:val="single"/>
        </w:rPr>
      </w:pPr>
      <w:r>
        <w:rPr>
          <w:rFonts w:hint="eastAsia"/>
          <w:i/>
          <w:iCs/>
          <w:color w:val="auto"/>
          <w:sz w:val="24"/>
          <w:szCs w:val="24"/>
          <w:u w:val="single"/>
        </w:rPr>
        <w:t>4、项目验收通过后，系统运行正常，甲方向乙方支付合同总价的</w:t>
      </w:r>
      <w:r>
        <w:rPr>
          <w:i/>
          <w:iCs/>
          <w:color w:val="auto"/>
          <w:sz w:val="24"/>
          <w:szCs w:val="24"/>
          <w:u w:val="single"/>
        </w:rPr>
        <w:t>4</w:t>
      </w:r>
      <w:r>
        <w:rPr>
          <w:rFonts w:hint="eastAsia"/>
          <w:i/>
          <w:iCs/>
          <w:color w:val="auto"/>
          <w:sz w:val="24"/>
          <w:szCs w:val="24"/>
          <w:u w:val="single"/>
        </w:rPr>
        <w:t>0%。</w:t>
      </w:r>
    </w:p>
    <w:p w14:paraId="0803793D">
      <w:pPr>
        <w:numPr>
          <w:ilvl w:val="255"/>
          <w:numId w:val="0"/>
        </w:numPr>
        <w:spacing w:line="480" w:lineRule="exact"/>
        <w:ind w:firstLine="482" w:firstLineChars="200"/>
        <w:jc w:val="left"/>
        <w:rPr>
          <w:b/>
          <w:bCs/>
          <w:i/>
          <w:iCs/>
          <w:color w:val="auto"/>
          <w:sz w:val="24"/>
          <w:u w:val="single"/>
        </w:rPr>
      </w:pPr>
      <w:r>
        <w:rPr>
          <w:rFonts w:hint="eastAsia"/>
          <w:b/>
          <w:bCs/>
          <w:i/>
          <w:iCs/>
          <w:color w:val="auto"/>
          <w:sz w:val="24"/>
          <w:u w:val="single"/>
        </w:rPr>
        <w:t>注：（1）以上每次付款前，乙方均应提供符合甲方要求的同等金额的合法有效发票。否则，甲方有权顺延付款时间，且不承担任何违约及/或赔偿责任。</w:t>
      </w:r>
      <w:r>
        <w:rPr>
          <w:rFonts w:hint="eastAsia"/>
          <w:b/>
          <w:i/>
          <w:iCs/>
          <w:color w:val="auto"/>
          <w:sz w:val="24"/>
          <w:szCs w:val="24"/>
          <w:u w:val="single"/>
        </w:rPr>
        <w:t>（2）</w:t>
      </w:r>
      <w:r>
        <w:rPr>
          <w:rFonts w:hint="eastAsia"/>
          <w:b/>
          <w:bCs/>
          <w:i/>
          <w:iCs/>
          <w:color w:val="auto"/>
          <w:sz w:val="24"/>
          <w:u w:val="single"/>
        </w:rPr>
        <w:t>支付方式包括但不限于：数字人民币、现金、银行汇票、转账支票等。</w:t>
      </w:r>
    </w:p>
    <w:bookmarkEnd w:id="71"/>
    <w:p w14:paraId="084ED52E">
      <w:pPr>
        <w:spacing w:line="480" w:lineRule="exact"/>
        <w:ind w:firstLine="482"/>
        <w:rPr>
          <w:b/>
          <w:color w:val="auto"/>
          <w:sz w:val="24"/>
          <w:szCs w:val="24"/>
        </w:rPr>
      </w:pPr>
      <w:r>
        <w:rPr>
          <w:b/>
          <w:color w:val="auto"/>
          <w:sz w:val="24"/>
          <w:szCs w:val="24"/>
        </w:rPr>
        <w:t>第</w:t>
      </w:r>
      <w:r>
        <w:rPr>
          <w:rFonts w:hint="eastAsia"/>
          <w:b/>
          <w:color w:val="auto"/>
          <w:sz w:val="24"/>
          <w:szCs w:val="24"/>
        </w:rPr>
        <w:t>六</w:t>
      </w:r>
      <w:r>
        <w:rPr>
          <w:b/>
          <w:color w:val="auto"/>
          <w:sz w:val="24"/>
          <w:szCs w:val="24"/>
        </w:rPr>
        <w:t>条  权利保证及保密</w:t>
      </w:r>
    </w:p>
    <w:p w14:paraId="53550C25">
      <w:pPr>
        <w:snapToGrid w:val="0"/>
        <w:spacing w:line="440" w:lineRule="exact"/>
        <w:ind w:firstLine="480" w:firstLineChars="200"/>
        <w:rPr>
          <w:color w:val="auto"/>
          <w:sz w:val="24"/>
          <w:szCs w:val="24"/>
        </w:rPr>
      </w:pPr>
      <w:r>
        <w:rPr>
          <w:color w:val="auto"/>
          <w:sz w:val="24"/>
          <w:szCs w:val="24"/>
        </w:rPr>
        <w:t>1、在本合同生效日前业已存在的版权及其他知识产权应属于本合同生效前既拥有该等权利的一方。</w:t>
      </w:r>
    </w:p>
    <w:p w14:paraId="00BFB765">
      <w:pPr>
        <w:tabs>
          <w:tab w:val="left" w:pos="964"/>
        </w:tabs>
        <w:snapToGrid w:val="0"/>
        <w:spacing w:line="440" w:lineRule="exact"/>
        <w:ind w:firstLine="480" w:firstLineChars="200"/>
        <w:rPr>
          <w:color w:val="auto"/>
          <w:sz w:val="24"/>
          <w:szCs w:val="24"/>
        </w:rPr>
      </w:pPr>
      <w:r>
        <w:rPr>
          <w:color w:val="auto"/>
          <w:sz w:val="24"/>
          <w:szCs w:val="24"/>
        </w:rPr>
        <w:t>2、任何一方均不可凭借本合同取得另一方此前所已经拥有且根据本合同不应被合理的推论为其已经同意转移的的版权、专利、商业秘密、商标或其他知识产权的所有权。</w:t>
      </w:r>
    </w:p>
    <w:p w14:paraId="55EB49E6">
      <w:pPr>
        <w:tabs>
          <w:tab w:val="left" w:pos="964"/>
        </w:tabs>
        <w:snapToGrid w:val="0"/>
        <w:spacing w:line="440" w:lineRule="exact"/>
        <w:ind w:firstLine="480" w:firstLineChars="200"/>
        <w:rPr>
          <w:color w:val="auto"/>
          <w:sz w:val="24"/>
          <w:szCs w:val="24"/>
        </w:rPr>
      </w:pPr>
      <w:r>
        <w:rPr>
          <w:color w:val="auto"/>
          <w:sz w:val="24"/>
          <w:szCs w:val="24"/>
        </w:rPr>
        <w:t>3、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代理机构为排除任何争议及/或瑕疵所应当或所需要支付的一切相关及/或由此引起的费用。</w:t>
      </w:r>
    </w:p>
    <w:p w14:paraId="3E7EDCD7">
      <w:pPr>
        <w:tabs>
          <w:tab w:val="left" w:pos="964"/>
        </w:tabs>
        <w:snapToGrid w:val="0"/>
        <w:spacing w:line="440" w:lineRule="exact"/>
        <w:ind w:firstLine="480" w:firstLineChars="200"/>
        <w:rPr>
          <w:color w:val="auto"/>
          <w:sz w:val="24"/>
          <w:szCs w:val="24"/>
        </w:rPr>
      </w:pPr>
      <w:r>
        <w:rPr>
          <w:color w:val="auto"/>
          <w:sz w:val="24"/>
          <w:szCs w:val="24"/>
        </w:rPr>
        <w:t>4、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代理机构为排除任何争议及/或赔偿侵权所应当或所需要支付的一切相关及/或由此引起的费用。</w:t>
      </w:r>
    </w:p>
    <w:p w14:paraId="23EAF2B5">
      <w:pPr>
        <w:tabs>
          <w:tab w:val="left" w:pos="964"/>
        </w:tabs>
        <w:snapToGrid w:val="0"/>
        <w:spacing w:line="440" w:lineRule="exact"/>
        <w:ind w:firstLine="480" w:firstLineChars="200"/>
        <w:rPr>
          <w:color w:val="auto"/>
          <w:sz w:val="24"/>
          <w:szCs w:val="24"/>
        </w:rPr>
      </w:pPr>
      <w:r>
        <w:rPr>
          <w:color w:val="auto"/>
          <w:sz w:val="24"/>
          <w:szCs w:val="24"/>
        </w:rPr>
        <w:t>5、甲方将拥有其在本合同项下所从事的所有工作（包括各类纸质文档，电子文档及其他可交付物）中所包含的或与之相关的全部版权、专利、商业秘密、商标和其他知识产权以及所有权和其他权益。</w:t>
      </w:r>
    </w:p>
    <w:p w14:paraId="076DD1FD">
      <w:pPr>
        <w:snapToGrid w:val="0"/>
        <w:spacing w:line="440" w:lineRule="exact"/>
        <w:ind w:firstLine="480" w:firstLineChars="200"/>
        <w:rPr>
          <w:color w:val="auto"/>
          <w:sz w:val="24"/>
          <w:szCs w:val="24"/>
        </w:rPr>
      </w:pPr>
      <w:r>
        <w:rPr>
          <w:color w:val="auto"/>
          <w:sz w:val="24"/>
          <w:szCs w:val="24"/>
        </w:rPr>
        <w:t>6、与本信息系统相关的且由</w:t>
      </w:r>
      <w:r>
        <w:rPr>
          <w:rFonts w:hint="eastAsia"/>
          <w:color w:val="auto"/>
          <w:sz w:val="24"/>
          <w:szCs w:val="24"/>
        </w:rPr>
        <w:t>本</w:t>
      </w:r>
      <w:r>
        <w:rPr>
          <w:color w:val="auto"/>
          <w:sz w:val="24"/>
          <w:szCs w:val="24"/>
        </w:rPr>
        <w:t>项目开发而新产生的商业秘密信息、技术资料和技术诀窍等所有权归甲方所有。乙方非经甲方同意不得向第三方转让本条所约定的相关所有权和使用权或泄露秘密信息、技术资料或技术诀窍。任何一方违反本条的约定，应承担违约责任，并赔偿另一方的损失。本合同另有规定或双方另行约定的除外。</w:t>
      </w:r>
    </w:p>
    <w:p w14:paraId="1B1D8E49">
      <w:pPr>
        <w:snapToGrid w:val="0"/>
        <w:spacing w:line="440" w:lineRule="exact"/>
        <w:ind w:firstLine="472" w:firstLineChars="196"/>
        <w:rPr>
          <w:b/>
          <w:color w:val="auto"/>
          <w:sz w:val="24"/>
          <w:szCs w:val="24"/>
        </w:rPr>
      </w:pPr>
      <w:r>
        <w:rPr>
          <w:b/>
          <w:color w:val="auto"/>
          <w:sz w:val="24"/>
          <w:szCs w:val="24"/>
        </w:rPr>
        <w:t>第</w:t>
      </w:r>
      <w:r>
        <w:rPr>
          <w:rFonts w:hint="eastAsia"/>
          <w:b/>
          <w:color w:val="auto"/>
          <w:sz w:val="24"/>
          <w:szCs w:val="24"/>
        </w:rPr>
        <w:t>七</w:t>
      </w:r>
      <w:r>
        <w:rPr>
          <w:b/>
          <w:color w:val="auto"/>
          <w:sz w:val="24"/>
          <w:szCs w:val="24"/>
        </w:rPr>
        <w:t xml:space="preserve">条 </w:t>
      </w:r>
      <w:r>
        <w:rPr>
          <w:rFonts w:hint="eastAsia"/>
          <w:b/>
          <w:color w:val="auto"/>
          <w:sz w:val="24"/>
          <w:szCs w:val="24"/>
        </w:rPr>
        <w:t xml:space="preserve"> 乙方义务</w:t>
      </w:r>
    </w:p>
    <w:p w14:paraId="57E842E9">
      <w:pPr>
        <w:snapToGrid w:val="0"/>
        <w:spacing w:line="440" w:lineRule="exact"/>
        <w:ind w:firstLine="480" w:firstLineChars="200"/>
        <w:rPr>
          <w:color w:val="auto"/>
          <w:sz w:val="24"/>
          <w:szCs w:val="24"/>
        </w:rPr>
      </w:pPr>
      <w:r>
        <w:rPr>
          <w:color w:val="auto"/>
          <w:sz w:val="24"/>
          <w:szCs w:val="24"/>
        </w:rPr>
        <w:t>1、乙方应及时履行合同一般性义务和技术文件中规定的具体义务。</w:t>
      </w:r>
    </w:p>
    <w:p w14:paraId="045BCDEC">
      <w:pPr>
        <w:snapToGrid w:val="0"/>
        <w:spacing w:line="440" w:lineRule="exact"/>
        <w:ind w:firstLine="480" w:firstLineChars="200"/>
        <w:rPr>
          <w:color w:val="auto"/>
          <w:sz w:val="24"/>
          <w:szCs w:val="24"/>
        </w:rPr>
      </w:pPr>
      <w:r>
        <w:rPr>
          <w:color w:val="auto"/>
          <w:sz w:val="24"/>
          <w:szCs w:val="24"/>
        </w:rPr>
        <w:t>2、乙方将根据本合同的条款和条件提供软件</w:t>
      </w:r>
      <w:r>
        <w:rPr>
          <w:rFonts w:hint="eastAsia"/>
          <w:color w:val="auto"/>
          <w:sz w:val="24"/>
          <w:szCs w:val="24"/>
        </w:rPr>
        <w:t>、</w:t>
      </w:r>
      <w:r>
        <w:rPr>
          <w:color w:val="auto"/>
          <w:sz w:val="24"/>
          <w:szCs w:val="24"/>
        </w:rPr>
        <w:t>服务</w:t>
      </w:r>
      <w:r>
        <w:rPr>
          <w:rFonts w:hint="eastAsia"/>
          <w:color w:val="auto"/>
          <w:sz w:val="24"/>
          <w:szCs w:val="24"/>
        </w:rPr>
        <w:t>以及</w:t>
      </w:r>
      <w:r>
        <w:rPr>
          <w:color w:val="auto"/>
          <w:sz w:val="24"/>
          <w:szCs w:val="24"/>
        </w:rPr>
        <w:t>运营。</w:t>
      </w:r>
    </w:p>
    <w:p w14:paraId="50F79214">
      <w:pPr>
        <w:snapToGrid w:val="0"/>
        <w:spacing w:line="440" w:lineRule="exact"/>
        <w:ind w:firstLine="480" w:firstLineChars="200"/>
        <w:rPr>
          <w:color w:val="auto"/>
          <w:sz w:val="24"/>
          <w:szCs w:val="24"/>
        </w:rPr>
      </w:pPr>
      <w:r>
        <w:rPr>
          <w:color w:val="auto"/>
          <w:sz w:val="24"/>
          <w:szCs w:val="24"/>
        </w:rPr>
        <w:t>3、乙方负责项目的日常管理工作，并对其成功负担全部责任。</w:t>
      </w:r>
    </w:p>
    <w:p w14:paraId="44ABDDB6">
      <w:pPr>
        <w:snapToGrid w:val="0"/>
        <w:spacing w:line="440" w:lineRule="exact"/>
        <w:ind w:firstLine="480" w:firstLineChars="200"/>
        <w:rPr>
          <w:color w:val="auto"/>
          <w:sz w:val="24"/>
          <w:szCs w:val="24"/>
        </w:rPr>
      </w:pPr>
      <w:r>
        <w:rPr>
          <w:color w:val="auto"/>
          <w:sz w:val="24"/>
          <w:szCs w:val="24"/>
        </w:rPr>
        <w:t>4、乙方根据甲方要求，在规定的时间内安排相应人员进入甲方指定的工作场所进行安装调试，并负责维护、管理工作环境。乙方安排的人员在工作期间，必须服从甲方的工作规定和安全管理制度。如果乙方工作人员不服从甲方管理，造成严重后果，甲方有权解除合同并提出索赔。乙方进场开发产生的费用由乙方自行负责。</w:t>
      </w:r>
    </w:p>
    <w:p w14:paraId="10655DCC">
      <w:pPr>
        <w:snapToGrid w:val="0"/>
        <w:spacing w:line="440" w:lineRule="exact"/>
        <w:ind w:firstLine="472" w:firstLineChars="196"/>
        <w:rPr>
          <w:b/>
          <w:color w:val="auto"/>
          <w:sz w:val="24"/>
          <w:szCs w:val="24"/>
        </w:rPr>
      </w:pPr>
      <w:r>
        <w:rPr>
          <w:b/>
          <w:color w:val="auto"/>
          <w:sz w:val="24"/>
          <w:szCs w:val="24"/>
        </w:rPr>
        <w:t>第</w:t>
      </w:r>
      <w:r>
        <w:rPr>
          <w:rFonts w:hint="eastAsia"/>
          <w:b/>
          <w:color w:val="auto"/>
          <w:sz w:val="24"/>
          <w:szCs w:val="24"/>
        </w:rPr>
        <w:t>八</w:t>
      </w:r>
      <w:r>
        <w:rPr>
          <w:b/>
          <w:color w:val="auto"/>
          <w:sz w:val="24"/>
          <w:szCs w:val="24"/>
        </w:rPr>
        <w:t>条  甲方义务</w:t>
      </w:r>
    </w:p>
    <w:p w14:paraId="1BCC03F3">
      <w:pPr>
        <w:snapToGrid w:val="0"/>
        <w:spacing w:line="440" w:lineRule="exact"/>
        <w:ind w:firstLine="480" w:firstLineChars="200"/>
        <w:rPr>
          <w:color w:val="auto"/>
          <w:sz w:val="24"/>
          <w:szCs w:val="24"/>
        </w:rPr>
      </w:pPr>
      <w:r>
        <w:rPr>
          <w:color w:val="auto"/>
          <w:sz w:val="24"/>
          <w:szCs w:val="24"/>
        </w:rPr>
        <w:t>1、甲方可指派代表作为项目负责人，与乙方进行及时的联络并监督、协调软件服务的执行情况。</w:t>
      </w:r>
    </w:p>
    <w:p w14:paraId="7CC03486">
      <w:pPr>
        <w:snapToGrid w:val="0"/>
        <w:spacing w:line="440" w:lineRule="exact"/>
        <w:ind w:firstLine="480" w:firstLineChars="200"/>
        <w:rPr>
          <w:color w:val="auto"/>
          <w:sz w:val="24"/>
          <w:szCs w:val="24"/>
        </w:rPr>
      </w:pPr>
      <w:r>
        <w:rPr>
          <w:color w:val="auto"/>
          <w:sz w:val="24"/>
          <w:szCs w:val="24"/>
        </w:rPr>
        <w:t>2、甲方提供培训场地，用于业务人员和系统管理员的培训。培训的系统环境与目标系统的环境兼容。</w:t>
      </w:r>
    </w:p>
    <w:p w14:paraId="74AC022C">
      <w:pPr>
        <w:snapToGrid w:val="0"/>
        <w:spacing w:line="440" w:lineRule="exact"/>
        <w:ind w:firstLine="480" w:firstLineChars="200"/>
        <w:rPr>
          <w:color w:val="auto"/>
          <w:sz w:val="24"/>
          <w:szCs w:val="24"/>
        </w:rPr>
      </w:pPr>
      <w:r>
        <w:rPr>
          <w:color w:val="auto"/>
          <w:sz w:val="24"/>
          <w:szCs w:val="24"/>
        </w:rPr>
        <w:t>3、配合乙方协调。</w:t>
      </w:r>
    </w:p>
    <w:p w14:paraId="05DC37D1">
      <w:pPr>
        <w:snapToGrid w:val="0"/>
        <w:spacing w:line="440" w:lineRule="exact"/>
        <w:ind w:firstLine="480" w:firstLineChars="200"/>
        <w:rPr>
          <w:color w:val="auto"/>
          <w:sz w:val="24"/>
          <w:szCs w:val="24"/>
        </w:rPr>
      </w:pPr>
      <w:r>
        <w:rPr>
          <w:rFonts w:hint="eastAsia"/>
          <w:color w:val="auto"/>
          <w:sz w:val="24"/>
          <w:szCs w:val="24"/>
        </w:rPr>
        <w:t>4、定期支付费用。</w:t>
      </w:r>
    </w:p>
    <w:p w14:paraId="6C55FAB4">
      <w:pPr>
        <w:snapToGrid w:val="0"/>
        <w:spacing w:line="440" w:lineRule="exact"/>
        <w:ind w:firstLine="472" w:firstLineChars="196"/>
        <w:rPr>
          <w:b/>
          <w:color w:val="auto"/>
          <w:sz w:val="24"/>
          <w:szCs w:val="24"/>
        </w:rPr>
      </w:pPr>
      <w:r>
        <w:rPr>
          <w:b/>
          <w:color w:val="auto"/>
          <w:sz w:val="24"/>
          <w:szCs w:val="24"/>
        </w:rPr>
        <w:t>第</w:t>
      </w:r>
      <w:r>
        <w:rPr>
          <w:rFonts w:hint="eastAsia"/>
          <w:b/>
          <w:color w:val="auto"/>
          <w:sz w:val="24"/>
          <w:szCs w:val="24"/>
        </w:rPr>
        <w:t>九</w:t>
      </w:r>
      <w:r>
        <w:rPr>
          <w:b/>
          <w:color w:val="auto"/>
          <w:sz w:val="24"/>
          <w:szCs w:val="24"/>
        </w:rPr>
        <w:t>条  人员变更</w:t>
      </w:r>
    </w:p>
    <w:p w14:paraId="397FCAEB">
      <w:pPr>
        <w:snapToGrid w:val="0"/>
        <w:spacing w:line="440" w:lineRule="exact"/>
        <w:ind w:firstLine="480" w:firstLineChars="200"/>
        <w:rPr>
          <w:color w:val="auto"/>
          <w:sz w:val="24"/>
          <w:szCs w:val="24"/>
        </w:rPr>
      </w:pPr>
      <w:r>
        <w:rPr>
          <w:color w:val="auto"/>
          <w:sz w:val="24"/>
          <w:szCs w:val="24"/>
        </w:rPr>
        <w:t>1、甲方不允许乙方在项目建设过程中更换项目经理，如果乙方由于无法控制的原因，必须变更项目经理时，乙方应提供一名具有同等或更高资历的人员替换该职位。</w:t>
      </w:r>
    </w:p>
    <w:p w14:paraId="76987934">
      <w:pPr>
        <w:snapToGrid w:val="0"/>
        <w:spacing w:line="440" w:lineRule="exact"/>
        <w:ind w:firstLine="480" w:firstLineChars="200"/>
        <w:rPr>
          <w:color w:val="auto"/>
          <w:sz w:val="24"/>
          <w:szCs w:val="24"/>
        </w:rPr>
      </w:pPr>
      <w:r>
        <w:rPr>
          <w:color w:val="auto"/>
          <w:sz w:val="24"/>
          <w:szCs w:val="24"/>
        </w:rPr>
        <w:t>2、甲方不允许乙方在项目建设过程中更换项目主要技术负责人，如果乙方由于无法控制的原因，必须变更项目主要技术负责人时，乙方应提供一名具有同等或更高资历的人员替换该职位。</w:t>
      </w:r>
    </w:p>
    <w:p w14:paraId="526EA5F1">
      <w:pPr>
        <w:snapToGrid w:val="0"/>
        <w:spacing w:line="440" w:lineRule="exact"/>
        <w:ind w:firstLine="480" w:firstLineChars="200"/>
        <w:rPr>
          <w:color w:val="auto"/>
          <w:sz w:val="24"/>
          <w:szCs w:val="24"/>
        </w:rPr>
      </w:pPr>
      <w:r>
        <w:rPr>
          <w:color w:val="auto"/>
          <w:sz w:val="24"/>
          <w:szCs w:val="24"/>
        </w:rPr>
        <w:t>3、如果甲方发现乙方项目经理或主要技术负责人存在以下问题，甲方有权书面要求乙方更换该人员。乙方在收到甲方书面通知后，必须及时更换该人员。此外，新更换人员的资历应预先受到甲方认可。</w:t>
      </w:r>
    </w:p>
    <w:p w14:paraId="79E0F7AC">
      <w:pPr>
        <w:snapToGrid w:val="0"/>
        <w:spacing w:line="440" w:lineRule="exact"/>
        <w:ind w:firstLine="480" w:firstLineChars="200"/>
        <w:rPr>
          <w:color w:val="auto"/>
          <w:sz w:val="24"/>
          <w:szCs w:val="24"/>
        </w:rPr>
      </w:pPr>
      <w:r>
        <w:rPr>
          <w:color w:val="auto"/>
          <w:sz w:val="24"/>
          <w:szCs w:val="24"/>
        </w:rPr>
        <w:t>（1）该人员被发现犯有严重的错误或被指控有犯罪行为；</w:t>
      </w:r>
    </w:p>
    <w:p w14:paraId="468A7B9E">
      <w:pPr>
        <w:snapToGrid w:val="0"/>
        <w:spacing w:line="440" w:lineRule="exact"/>
        <w:ind w:firstLine="480" w:firstLineChars="200"/>
        <w:rPr>
          <w:color w:val="auto"/>
          <w:sz w:val="24"/>
          <w:szCs w:val="24"/>
        </w:rPr>
      </w:pPr>
      <w:r>
        <w:rPr>
          <w:color w:val="auto"/>
          <w:sz w:val="24"/>
          <w:szCs w:val="24"/>
        </w:rPr>
        <w:t>（2）有充分资料显示该人员能力与表现无法胜任承担的工作任务。</w:t>
      </w:r>
    </w:p>
    <w:p w14:paraId="49B5393C">
      <w:pPr>
        <w:snapToGrid w:val="0"/>
        <w:spacing w:line="440" w:lineRule="exact"/>
        <w:ind w:firstLine="480" w:firstLineChars="200"/>
        <w:rPr>
          <w:color w:val="auto"/>
          <w:sz w:val="24"/>
          <w:szCs w:val="24"/>
        </w:rPr>
      </w:pPr>
      <w:r>
        <w:rPr>
          <w:color w:val="auto"/>
          <w:sz w:val="24"/>
          <w:szCs w:val="24"/>
        </w:rPr>
        <w:t>4、所有人员的变更均不影响合同的价格及合同工期。</w:t>
      </w:r>
    </w:p>
    <w:p w14:paraId="48618EA9">
      <w:pPr>
        <w:snapToGrid w:val="0"/>
        <w:spacing w:line="440" w:lineRule="exact"/>
        <w:ind w:firstLine="472" w:firstLineChars="196"/>
        <w:rPr>
          <w:b/>
          <w:color w:val="auto"/>
          <w:sz w:val="24"/>
          <w:szCs w:val="24"/>
        </w:rPr>
      </w:pPr>
      <w:r>
        <w:rPr>
          <w:b/>
          <w:color w:val="auto"/>
          <w:sz w:val="24"/>
          <w:szCs w:val="24"/>
        </w:rPr>
        <w:t>第</w:t>
      </w:r>
      <w:r>
        <w:rPr>
          <w:rFonts w:hint="eastAsia"/>
          <w:b/>
          <w:color w:val="auto"/>
          <w:sz w:val="24"/>
          <w:szCs w:val="24"/>
        </w:rPr>
        <w:t>十</w:t>
      </w:r>
      <w:r>
        <w:rPr>
          <w:b/>
          <w:color w:val="auto"/>
          <w:sz w:val="24"/>
          <w:szCs w:val="24"/>
        </w:rPr>
        <w:t>条  伴随服务</w:t>
      </w:r>
    </w:p>
    <w:p w14:paraId="61AAB765">
      <w:pPr>
        <w:snapToGrid w:val="0"/>
        <w:spacing w:line="440" w:lineRule="exact"/>
        <w:ind w:firstLine="480" w:firstLineChars="200"/>
        <w:rPr>
          <w:color w:val="auto"/>
          <w:sz w:val="24"/>
          <w:szCs w:val="24"/>
        </w:rPr>
      </w:pPr>
      <w:r>
        <w:rPr>
          <w:color w:val="auto"/>
          <w:sz w:val="24"/>
          <w:szCs w:val="24"/>
        </w:rPr>
        <w:t>1、乙方应提供下列服务，包括本合同以及技术规格规定的附加服务：</w:t>
      </w:r>
    </w:p>
    <w:p w14:paraId="6D4A7AE6">
      <w:pPr>
        <w:snapToGrid w:val="0"/>
        <w:spacing w:line="440" w:lineRule="exact"/>
        <w:ind w:firstLine="480" w:firstLineChars="200"/>
        <w:rPr>
          <w:color w:val="auto"/>
          <w:sz w:val="24"/>
          <w:szCs w:val="24"/>
        </w:rPr>
      </w:pPr>
      <w:r>
        <w:rPr>
          <w:color w:val="auto"/>
          <w:sz w:val="24"/>
          <w:szCs w:val="24"/>
        </w:rPr>
        <w:t>（1）在双方商定的一定期限内对所供规范和数据标准进行调整，但前提条件是该服务并不能免除乙方在合同保证期内所承担的义务；</w:t>
      </w:r>
    </w:p>
    <w:p w14:paraId="5D59C842">
      <w:pPr>
        <w:snapToGrid w:val="0"/>
        <w:spacing w:line="440" w:lineRule="exact"/>
        <w:ind w:firstLine="480" w:firstLineChars="200"/>
        <w:rPr>
          <w:color w:val="auto"/>
          <w:sz w:val="24"/>
          <w:szCs w:val="24"/>
        </w:rPr>
      </w:pPr>
      <w:r>
        <w:rPr>
          <w:color w:val="auto"/>
          <w:sz w:val="24"/>
          <w:szCs w:val="24"/>
        </w:rPr>
        <w:t>（2）甲方提供的培训场所仅供对甲方指定的人员进行培训。</w:t>
      </w:r>
    </w:p>
    <w:p w14:paraId="58646BCF">
      <w:pPr>
        <w:snapToGrid w:val="0"/>
        <w:spacing w:line="440" w:lineRule="exact"/>
        <w:ind w:firstLine="480" w:firstLineChars="200"/>
        <w:rPr>
          <w:color w:val="auto"/>
          <w:sz w:val="24"/>
          <w:szCs w:val="24"/>
        </w:rPr>
      </w:pPr>
      <w:r>
        <w:rPr>
          <w:color w:val="auto"/>
          <w:sz w:val="24"/>
          <w:szCs w:val="24"/>
        </w:rPr>
        <w:t>2、乙方应提供本合同以及技术规格中规定的所有服务。为履行要求的伴随服务的报价或双方商定的费用应包括在合同价中。</w:t>
      </w:r>
    </w:p>
    <w:p w14:paraId="1F88CA41">
      <w:pPr>
        <w:snapToGrid w:val="0"/>
        <w:spacing w:line="440" w:lineRule="exact"/>
        <w:ind w:firstLine="480" w:firstLineChars="200"/>
        <w:rPr>
          <w:color w:val="auto"/>
          <w:sz w:val="24"/>
          <w:szCs w:val="24"/>
        </w:rPr>
      </w:pPr>
      <w:r>
        <w:rPr>
          <w:color w:val="auto"/>
          <w:sz w:val="24"/>
          <w:szCs w:val="24"/>
        </w:rPr>
        <w:t>3、乙方可能被要求提供下列服务中的任一或所有服务，包括本合同以及技术规格规定的附加服务：</w:t>
      </w:r>
    </w:p>
    <w:p w14:paraId="5DC3E239">
      <w:pPr>
        <w:snapToGrid w:val="0"/>
        <w:spacing w:line="440" w:lineRule="exact"/>
        <w:ind w:firstLine="480" w:firstLineChars="200"/>
        <w:rPr>
          <w:color w:val="auto"/>
          <w:sz w:val="24"/>
          <w:szCs w:val="24"/>
        </w:rPr>
      </w:pPr>
      <w:r>
        <w:rPr>
          <w:color w:val="auto"/>
          <w:sz w:val="24"/>
          <w:szCs w:val="24"/>
        </w:rPr>
        <w:t>（1）实施或监督所供软件的现场安装和/或启动；</w:t>
      </w:r>
    </w:p>
    <w:p w14:paraId="3ECA90E7">
      <w:pPr>
        <w:snapToGrid w:val="0"/>
        <w:spacing w:line="440" w:lineRule="exact"/>
        <w:ind w:firstLine="480" w:firstLineChars="200"/>
        <w:rPr>
          <w:color w:val="auto"/>
          <w:sz w:val="24"/>
          <w:szCs w:val="24"/>
        </w:rPr>
      </w:pPr>
      <w:r>
        <w:rPr>
          <w:color w:val="auto"/>
          <w:sz w:val="24"/>
          <w:szCs w:val="24"/>
        </w:rPr>
        <w:t>（2）为所供软件提供详细的操作和维护手册；</w:t>
      </w:r>
    </w:p>
    <w:p w14:paraId="7C25D2D8">
      <w:pPr>
        <w:snapToGrid w:val="0"/>
        <w:spacing w:line="440" w:lineRule="exact"/>
        <w:ind w:firstLine="480" w:firstLineChars="200"/>
        <w:rPr>
          <w:color w:val="auto"/>
          <w:sz w:val="24"/>
          <w:szCs w:val="24"/>
        </w:rPr>
      </w:pPr>
      <w:r>
        <w:rPr>
          <w:color w:val="auto"/>
          <w:sz w:val="24"/>
          <w:szCs w:val="24"/>
        </w:rPr>
        <w:t>（3）在双方商定的一定期限内对所供软件实施运行、监督、维护、修理，但前提条件是该服务并不能免除乙方在合同保证期内所承担的义务；</w:t>
      </w:r>
    </w:p>
    <w:p w14:paraId="52169C02">
      <w:pPr>
        <w:snapToGrid w:val="0"/>
        <w:spacing w:line="440" w:lineRule="exact"/>
        <w:ind w:firstLine="480" w:firstLineChars="200"/>
        <w:rPr>
          <w:color w:val="auto"/>
          <w:sz w:val="24"/>
          <w:szCs w:val="24"/>
        </w:rPr>
      </w:pPr>
      <w:r>
        <w:rPr>
          <w:color w:val="auto"/>
          <w:sz w:val="24"/>
          <w:szCs w:val="24"/>
        </w:rPr>
        <w:t>（4）在甲方提供的培训场所就所供软件的启动、运行、维护对甲方人员进行培训</w:t>
      </w:r>
      <w:r>
        <w:rPr>
          <w:rFonts w:hint="eastAsia"/>
          <w:color w:val="auto"/>
          <w:sz w:val="24"/>
          <w:szCs w:val="24"/>
        </w:rPr>
        <w:t>；</w:t>
      </w:r>
    </w:p>
    <w:p w14:paraId="486BD629">
      <w:pPr>
        <w:snapToGrid w:val="0"/>
        <w:spacing w:line="440" w:lineRule="exact"/>
        <w:ind w:firstLine="480" w:firstLineChars="200"/>
        <w:rPr>
          <w:color w:val="auto"/>
          <w:sz w:val="24"/>
          <w:szCs w:val="24"/>
        </w:rPr>
      </w:pPr>
      <w:r>
        <w:rPr>
          <w:color w:val="auto"/>
          <w:sz w:val="24"/>
          <w:szCs w:val="24"/>
        </w:rPr>
        <w:t>（5）乙方应提供本合同以及技术规格中规定的所有服务。为履行要求的伴随服务的报价或双方商定的费用应包括在合同价中。</w:t>
      </w:r>
    </w:p>
    <w:p w14:paraId="6C03D023">
      <w:pPr>
        <w:snapToGrid w:val="0"/>
        <w:spacing w:line="440" w:lineRule="exact"/>
        <w:ind w:firstLine="482" w:firstLineChars="200"/>
        <w:rPr>
          <w:b/>
          <w:color w:val="auto"/>
          <w:sz w:val="24"/>
          <w:szCs w:val="24"/>
        </w:rPr>
      </w:pPr>
      <w:r>
        <w:rPr>
          <w:b/>
          <w:color w:val="auto"/>
          <w:sz w:val="24"/>
          <w:szCs w:val="24"/>
        </w:rPr>
        <w:t>第</w:t>
      </w:r>
      <w:r>
        <w:rPr>
          <w:rFonts w:hint="eastAsia"/>
          <w:b/>
          <w:color w:val="auto"/>
          <w:sz w:val="24"/>
          <w:szCs w:val="24"/>
        </w:rPr>
        <w:t>十一</w:t>
      </w:r>
      <w:r>
        <w:rPr>
          <w:b/>
          <w:color w:val="auto"/>
          <w:sz w:val="24"/>
          <w:szCs w:val="24"/>
        </w:rPr>
        <w:t>条  违约责任</w:t>
      </w:r>
    </w:p>
    <w:p w14:paraId="6954C879">
      <w:pPr>
        <w:spacing w:line="440" w:lineRule="exact"/>
        <w:ind w:firstLine="523" w:firstLineChars="218"/>
        <w:rPr>
          <w:color w:val="auto"/>
          <w:sz w:val="24"/>
          <w:szCs w:val="24"/>
        </w:rPr>
      </w:pPr>
      <w:r>
        <w:rPr>
          <w:color w:val="auto"/>
          <w:sz w:val="24"/>
          <w:szCs w:val="24"/>
        </w:rPr>
        <w:t>1</w:t>
      </w:r>
      <w:r>
        <w:rPr>
          <w:rFonts w:hint="eastAsia"/>
          <w:color w:val="auto"/>
          <w:sz w:val="24"/>
          <w:szCs w:val="24"/>
        </w:rPr>
        <w:t>、除不可抗力外，如果乙方没有按照本合同约定的期限、地点和方式履行，那么甲方可要求乙方支付违约金，违约金按每迟延履行一日的应提供而未提供服务价格的</w:t>
      </w:r>
      <w:r>
        <w:rPr>
          <w:color w:val="auto"/>
          <w:sz w:val="24"/>
          <w:szCs w:val="24"/>
          <w:u w:val="single"/>
        </w:rPr>
        <w:t xml:space="preserve">  0.5  </w:t>
      </w:r>
      <w:r>
        <w:rPr>
          <w:color w:val="auto"/>
          <w:sz w:val="24"/>
          <w:szCs w:val="24"/>
        </w:rPr>
        <w:t>%</w:t>
      </w:r>
      <w:r>
        <w:rPr>
          <w:rFonts w:hint="eastAsia"/>
          <w:color w:val="auto"/>
          <w:sz w:val="24"/>
          <w:szCs w:val="24"/>
        </w:rPr>
        <w:t>计算，优先从履约保证金中取得补偿，最高限额为本合同总价的</w:t>
      </w:r>
      <w:r>
        <w:rPr>
          <w:color w:val="auto"/>
          <w:sz w:val="24"/>
          <w:szCs w:val="24"/>
          <w:u w:val="single"/>
        </w:rPr>
        <w:t xml:space="preserve">  10  </w:t>
      </w:r>
      <w:r>
        <w:rPr>
          <w:color w:val="auto"/>
          <w:sz w:val="24"/>
          <w:szCs w:val="24"/>
        </w:rPr>
        <w:t>%</w:t>
      </w:r>
      <w:r>
        <w:rPr>
          <w:rFonts w:hint="eastAsia"/>
          <w:color w:val="auto"/>
          <w:sz w:val="24"/>
          <w:szCs w:val="24"/>
        </w:rPr>
        <w:t>；迟延履行的违约金计算数额达到前述最高限额之日起，甲方有权在要求乙方支付违约金的同时，书面通知乙方解除本合同。</w:t>
      </w:r>
    </w:p>
    <w:p w14:paraId="749BAA3D">
      <w:pPr>
        <w:spacing w:line="440" w:lineRule="exact"/>
        <w:ind w:firstLine="480" w:firstLineChars="200"/>
        <w:rPr>
          <w:rFonts w:ascii="宋体" w:hAnsi="宋体"/>
          <w:color w:val="auto"/>
          <w:sz w:val="24"/>
          <w:szCs w:val="24"/>
        </w:rPr>
      </w:pPr>
      <w:r>
        <w:rPr>
          <w:color w:val="auto"/>
          <w:sz w:val="24"/>
          <w:szCs w:val="24"/>
        </w:rPr>
        <w:t>2</w:t>
      </w:r>
      <w:r>
        <w:rPr>
          <w:rFonts w:hint="eastAsia"/>
          <w:color w:val="auto"/>
          <w:sz w:val="24"/>
          <w:szCs w:val="24"/>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w:t>
      </w:r>
      <w:r>
        <w:rPr>
          <w:rFonts w:hint="eastAsia" w:ascii="宋体" w:hAnsi="宋体"/>
          <w:color w:val="auto"/>
          <w:sz w:val="24"/>
          <w:szCs w:val="24"/>
        </w:rPr>
        <w:t>对方当事人在合同签订、履行过程中的行为）或者欺诈行为（即：以谎报事实或隐瞒真相的方法来影响对方当事人在合同签订、履行过程中的行为）的，对方当事人可以书面通知违约方解除本合同。</w:t>
      </w:r>
    </w:p>
    <w:p w14:paraId="12DECFAA">
      <w:pPr>
        <w:spacing w:line="440" w:lineRule="exact"/>
        <w:ind w:firstLine="480" w:firstLineChars="200"/>
        <w:rPr>
          <w:color w:val="auto"/>
          <w:sz w:val="24"/>
          <w:szCs w:val="24"/>
        </w:rPr>
      </w:pPr>
      <w:r>
        <w:rPr>
          <w:color w:val="auto"/>
          <w:sz w:val="24"/>
          <w:szCs w:val="24"/>
        </w:rPr>
        <w:t>3</w:t>
      </w:r>
      <w:r>
        <w:rPr>
          <w:rFonts w:hint="eastAsia"/>
          <w:color w:val="auto"/>
          <w:sz w:val="24"/>
          <w:szCs w:val="24"/>
        </w:rPr>
        <w:t>、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08D156A5">
      <w:pPr>
        <w:spacing w:line="440" w:lineRule="exact"/>
        <w:ind w:firstLine="480" w:firstLineChars="200"/>
        <w:rPr>
          <w:color w:val="auto"/>
          <w:sz w:val="24"/>
          <w:szCs w:val="24"/>
        </w:rPr>
      </w:pPr>
      <w:r>
        <w:rPr>
          <w:color w:val="auto"/>
          <w:sz w:val="24"/>
          <w:szCs w:val="24"/>
        </w:rPr>
        <w:t>4</w:t>
      </w:r>
      <w:r>
        <w:rPr>
          <w:rFonts w:hint="eastAsia"/>
          <w:color w:val="auto"/>
          <w:sz w:val="24"/>
          <w:szCs w:val="24"/>
        </w:rPr>
        <w:t>、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1F5C005">
      <w:pPr>
        <w:spacing w:line="440" w:lineRule="exact"/>
        <w:ind w:firstLine="480" w:firstLineChars="200"/>
        <w:rPr>
          <w:color w:val="auto"/>
          <w:sz w:val="24"/>
          <w:szCs w:val="24"/>
        </w:rPr>
      </w:pPr>
      <w:r>
        <w:rPr>
          <w:color w:val="auto"/>
          <w:sz w:val="24"/>
          <w:szCs w:val="24"/>
        </w:rPr>
        <w:t>5</w:t>
      </w:r>
      <w:r>
        <w:rPr>
          <w:rFonts w:hint="eastAsia"/>
          <w:color w:val="auto"/>
          <w:sz w:val="24"/>
          <w:szCs w:val="24"/>
        </w:rPr>
        <w:t>、如果出现政府采购监督管理部门在处理投诉事项期间，书面通知甲方暂停采购活动的情形，或者询问或质疑事项可能影响成交结果的，导致甲方中止履行合同的情形，均不视为甲方违约。</w:t>
      </w:r>
    </w:p>
    <w:p w14:paraId="2BD475FB">
      <w:pPr>
        <w:snapToGrid w:val="0"/>
        <w:spacing w:line="440" w:lineRule="exact"/>
        <w:ind w:firstLine="480" w:firstLineChars="200"/>
        <w:rPr>
          <w:color w:val="auto"/>
          <w:sz w:val="24"/>
          <w:szCs w:val="24"/>
        </w:rPr>
      </w:pPr>
      <w:r>
        <w:rPr>
          <w:color w:val="auto"/>
          <w:sz w:val="24"/>
          <w:szCs w:val="24"/>
        </w:rPr>
        <w:t>6、违约方承担违约责任并不影响其合同项下的义务（合同解除的除外）。</w:t>
      </w:r>
    </w:p>
    <w:p w14:paraId="10BEE2D2">
      <w:pPr>
        <w:snapToGrid w:val="0"/>
        <w:spacing w:line="440" w:lineRule="exact"/>
        <w:ind w:firstLine="480" w:firstLineChars="200"/>
        <w:rPr>
          <w:color w:val="auto"/>
          <w:sz w:val="24"/>
          <w:szCs w:val="24"/>
        </w:rPr>
      </w:pPr>
      <w:r>
        <w:rPr>
          <w:color w:val="auto"/>
          <w:sz w:val="24"/>
          <w:szCs w:val="24"/>
        </w:rPr>
        <w:t>7</w:t>
      </w:r>
      <w:r>
        <w:rPr>
          <w:rFonts w:hint="eastAsia"/>
          <w:color w:val="auto"/>
          <w:sz w:val="24"/>
          <w:szCs w:val="24"/>
        </w:rPr>
        <w:t>、具体违约责任及标准（按有利于甲方原则，不低于上述标准）由双方在签订合同时明确。</w:t>
      </w:r>
    </w:p>
    <w:p w14:paraId="06105474">
      <w:pPr>
        <w:snapToGrid w:val="0"/>
        <w:spacing w:line="440" w:lineRule="exact"/>
        <w:ind w:firstLine="472" w:firstLineChars="196"/>
        <w:rPr>
          <w:b/>
          <w:color w:val="auto"/>
          <w:sz w:val="24"/>
          <w:szCs w:val="24"/>
        </w:rPr>
      </w:pPr>
      <w:r>
        <w:rPr>
          <w:b/>
          <w:color w:val="auto"/>
          <w:sz w:val="24"/>
          <w:szCs w:val="24"/>
        </w:rPr>
        <w:t>第十</w:t>
      </w:r>
      <w:r>
        <w:rPr>
          <w:rFonts w:hint="eastAsia"/>
          <w:b/>
          <w:color w:val="auto"/>
          <w:sz w:val="24"/>
          <w:szCs w:val="24"/>
        </w:rPr>
        <w:t>二</w:t>
      </w:r>
      <w:r>
        <w:rPr>
          <w:b/>
          <w:color w:val="auto"/>
          <w:sz w:val="24"/>
          <w:szCs w:val="24"/>
        </w:rPr>
        <w:t>条  不可抗力</w:t>
      </w:r>
    </w:p>
    <w:p w14:paraId="3B84A887">
      <w:pPr>
        <w:snapToGrid w:val="0"/>
        <w:spacing w:line="440" w:lineRule="exact"/>
        <w:ind w:firstLine="480" w:firstLineChars="200"/>
        <w:rPr>
          <w:color w:val="auto"/>
          <w:sz w:val="24"/>
          <w:szCs w:val="24"/>
        </w:rPr>
      </w:pPr>
      <w:r>
        <w:rPr>
          <w:color w:val="auto"/>
          <w:sz w:val="24"/>
          <w:szCs w:val="24"/>
        </w:rPr>
        <w:t>1、不可抗力，是指不能预见、不能避免并不能克服的客观情况，如战争、动乱、瘟疫、严重火灾、洪水、地震、风暴或其他自然灾害等。</w:t>
      </w:r>
    </w:p>
    <w:p w14:paraId="6B421A55">
      <w:pPr>
        <w:snapToGrid w:val="0"/>
        <w:spacing w:line="440" w:lineRule="exact"/>
        <w:ind w:firstLine="480" w:firstLineChars="200"/>
        <w:rPr>
          <w:color w:val="auto"/>
          <w:sz w:val="24"/>
          <w:szCs w:val="24"/>
        </w:rPr>
      </w:pPr>
      <w:r>
        <w:rPr>
          <w:color w:val="auto"/>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1F9202B">
      <w:pPr>
        <w:snapToGrid w:val="0"/>
        <w:spacing w:line="440" w:lineRule="exact"/>
        <w:ind w:firstLine="480" w:firstLineChars="200"/>
        <w:rPr>
          <w:color w:val="auto"/>
          <w:sz w:val="24"/>
          <w:szCs w:val="24"/>
        </w:rPr>
      </w:pPr>
      <w:r>
        <w:rPr>
          <w:color w:val="auto"/>
          <w:sz w:val="24"/>
          <w:szCs w:val="24"/>
        </w:rPr>
        <w:t>3、发生不可抗力事件，任何一方均不对因不可抗力无法履行或迟延履行本合同义务而使另一方蒙受的任何损失承担责任，法律另有规定的除外。</w:t>
      </w:r>
    </w:p>
    <w:p w14:paraId="2D54040A">
      <w:pPr>
        <w:snapToGrid w:val="0"/>
        <w:spacing w:line="440" w:lineRule="exact"/>
        <w:ind w:firstLine="480" w:firstLineChars="200"/>
        <w:rPr>
          <w:color w:val="auto"/>
          <w:sz w:val="24"/>
          <w:szCs w:val="24"/>
        </w:rPr>
      </w:pPr>
      <w:r>
        <w:rPr>
          <w:color w:val="auto"/>
          <w:sz w:val="24"/>
          <w:szCs w:val="24"/>
        </w:rPr>
        <w:t>4、合同各方应根据不可抗力对本合同履行的影响程度，协商确定是否终止本合同或是继续履行本合同。</w:t>
      </w:r>
    </w:p>
    <w:p w14:paraId="0B2BB520">
      <w:pPr>
        <w:snapToGrid w:val="0"/>
        <w:spacing w:line="440" w:lineRule="exact"/>
        <w:ind w:firstLine="472" w:firstLineChars="196"/>
        <w:rPr>
          <w:b/>
          <w:color w:val="auto"/>
          <w:sz w:val="24"/>
          <w:szCs w:val="24"/>
        </w:rPr>
      </w:pPr>
      <w:r>
        <w:rPr>
          <w:b/>
          <w:color w:val="auto"/>
          <w:sz w:val="24"/>
          <w:szCs w:val="24"/>
        </w:rPr>
        <w:t>第十</w:t>
      </w:r>
      <w:r>
        <w:rPr>
          <w:rFonts w:hint="eastAsia"/>
          <w:b/>
          <w:color w:val="auto"/>
          <w:sz w:val="24"/>
          <w:szCs w:val="24"/>
        </w:rPr>
        <w:t>三</w:t>
      </w:r>
      <w:r>
        <w:rPr>
          <w:b/>
          <w:color w:val="auto"/>
          <w:sz w:val="24"/>
          <w:szCs w:val="24"/>
        </w:rPr>
        <w:t>条</w:t>
      </w:r>
      <w:r>
        <w:rPr>
          <w:rFonts w:hint="eastAsia"/>
          <w:b/>
          <w:color w:val="auto"/>
          <w:sz w:val="24"/>
          <w:szCs w:val="24"/>
        </w:rPr>
        <w:t xml:space="preserve">  </w:t>
      </w:r>
      <w:r>
        <w:rPr>
          <w:b/>
          <w:color w:val="auto"/>
          <w:sz w:val="24"/>
          <w:szCs w:val="24"/>
        </w:rPr>
        <w:t>合同的补充</w:t>
      </w:r>
    </w:p>
    <w:p w14:paraId="26D036A9">
      <w:pPr>
        <w:snapToGrid w:val="0"/>
        <w:spacing w:line="440" w:lineRule="exact"/>
        <w:ind w:firstLine="480" w:firstLineChars="200"/>
        <w:rPr>
          <w:color w:val="auto"/>
          <w:sz w:val="24"/>
          <w:szCs w:val="24"/>
        </w:rPr>
      </w:pPr>
      <w:r>
        <w:rPr>
          <w:color w:val="auto"/>
          <w:sz w:val="24"/>
          <w:szCs w:val="24"/>
        </w:rPr>
        <w:t>1、在本合同履行中，甲方需要追加与本合同相同的货物</w:t>
      </w:r>
      <w:r>
        <w:rPr>
          <w:rFonts w:hint="eastAsia"/>
          <w:color w:val="auto"/>
          <w:sz w:val="24"/>
          <w:szCs w:val="24"/>
        </w:rPr>
        <w:t>、</w:t>
      </w:r>
      <w:r>
        <w:rPr>
          <w:color w:val="auto"/>
          <w:sz w:val="24"/>
          <w:szCs w:val="24"/>
        </w:rPr>
        <w:t>软件或服务的，在不改变合同其他条款的前提下，可与乙方协商签订补充合同，但所有补充合同的金额不得超过本合同的百分之十。</w:t>
      </w:r>
    </w:p>
    <w:p w14:paraId="1CCDC76A">
      <w:pPr>
        <w:snapToGrid w:val="0"/>
        <w:spacing w:line="440" w:lineRule="exact"/>
        <w:ind w:firstLine="480" w:firstLineChars="200"/>
        <w:rPr>
          <w:color w:val="auto"/>
          <w:sz w:val="24"/>
          <w:szCs w:val="24"/>
        </w:rPr>
      </w:pPr>
      <w:r>
        <w:rPr>
          <w:color w:val="auto"/>
          <w:sz w:val="24"/>
          <w:szCs w:val="24"/>
        </w:rPr>
        <w:t>2、补充合同须采用书面形式，并报</w:t>
      </w:r>
      <w:r>
        <w:rPr>
          <w:rFonts w:hint="eastAsia"/>
          <w:color w:val="auto"/>
          <w:sz w:val="24"/>
          <w:szCs w:val="24"/>
        </w:rPr>
        <w:t>监管部门</w:t>
      </w:r>
      <w:r>
        <w:rPr>
          <w:color w:val="auto"/>
          <w:sz w:val="24"/>
          <w:szCs w:val="24"/>
        </w:rPr>
        <w:t>备案，为本合同不可分割的一部分。</w:t>
      </w:r>
    </w:p>
    <w:p w14:paraId="1D67F511">
      <w:pPr>
        <w:snapToGrid w:val="0"/>
        <w:spacing w:line="440" w:lineRule="exact"/>
        <w:ind w:firstLine="472" w:firstLineChars="196"/>
        <w:rPr>
          <w:b/>
          <w:color w:val="auto"/>
          <w:sz w:val="24"/>
          <w:szCs w:val="24"/>
        </w:rPr>
      </w:pPr>
      <w:r>
        <w:rPr>
          <w:b/>
          <w:color w:val="auto"/>
          <w:sz w:val="24"/>
          <w:szCs w:val="24"/>
        </w:rPr>
        <w:t>第十</w:t>
      </w:r>
      <w:r>
        <w:rPr>
          <w:rFonts w:hint="eastAsia"/>
          <w:b/>
          <w:color w:val="auto"/>
          <w:sz w:val="24"/>
          <w:szCs w:val="24"/>
        </w:rPr>
        <w:t>四</w:t>
      </w:r>
      <w:r>
        <w:rPr>
          <w:b/>
          <w:color w:val="auto"/>
          <w:sz w:val="24"/>
          <w:szCs w:val="24"/>
        </w:rPr>
        <w:t>条  合同的变更、中止</w:t>
      </w:r>
    </w:p>
    <w:p w14:paraId="3831528F">
      <w:pPr>
        <w:snapToGrid w:val="0"/>
        <w:spacing w:line="440" w:lineRule="exact"/>
        <w:ind w:firstLine="470" w:firstLineChars="196"/>
        <w:rPr>
          <w:color w:val="auto"/>
          <w:sz w:val="24"/>
          <w:szCs w:val="24"/>
        </w:rPr>
      </w:pPr>
      <w:r>
        <w:rPr>
          <w:color w:val="auto"/>
          <w:sz w:val="24"/>
          <w:szCs w:val="24"/>
        </w:rPr>
        <w:t>本合同一经签订，合同双方不得擅自变更或中止合同，除非合同的继续履行将损害国家利益和社会公共利益。</w:t>
      </w:r>
    </w:p>
    <w:p w14:paraId="5739196E">
      <w:pPr>
        <w:snapToGrid w:val="0"/>
        <w:spacing w:line="440" w:lineRule="exact"/>
        <w:ind w:firstLine="472" w:firstLineChars="196"/>
        <w:rPr>
          <w:b/>
          <w:color w:val="auto"/>
          <w:sz w:val="24"/>
          <w:szCs w:val="24"/>
        </w:rPr>
      </w:pPr>
      <w:r>
        <w:rPr>
          <w:b/>
          <w:color w:val="auto"/>
          <w:sz w:val="24"/>
          <w:szCs w:val="24"/>
        </w:rPr>
        <w:t>第十</w:t>
      </w:r>
      <w:r>
        <w:rPr>
          <w:rFonts w:hint="eastAsia"/>
          <w:b/>
          <w:color w:val="auto"/>
          <w:sz w:val="24"/>
          <w:szCs w:val="24"/>
        </w:rPr>
        <w:t>五</w:t>
      </w:r>
      <w:r>
        <w:rPr>
          <w:b/>
          <w:color w:val="auto"/>
          <w:sz w:val="24"/>
          <w:szCs w:val="24"/>
        </w:rPr>
        <w:t>条  合同的终止</w:t>
      </w:r>
    </w:p>
    <w:p w14:paraId="449176DD">
      <w:pPr>
        <w:snapToGrid w:val="0"/>
        <w:spacing w:line="440" w:lineRule="exact"/>
        <w:ind w:firstLine="480" w:firstLineChars="200"/>
        <w:rPr>
          <w:color w:val="auto"/>
          <w:sz w:val="24"/>
          <w:szCs w:val="24"/>
        </w:rPr>
      </w:pPr>
      <w:r>
        <w:rPr>
          <w:color w:val="auto"/>
          <w:sz w:val="24"/>
          <w:szCs w:val="24"/>
        </w:rPr>
        <w:t>本合同因下列原因而终止：</w:t>
      </w:r>
    </w:p>
    <w:p w14:paraId="1B89D753">
      <w:pPr>
        <w:snapToGrid w:val="0"/>
        <w:spacing w:line="440" w:lineRule="exact"/>
        <w:ind w:firstLine="480" w:firstLineChars="200"/>
        <w:rPr>
          <w:color w:val="auto"/>
          <w:sz w:val="24"/>
          <w:szCs w:val="24"/>
        </w:rPr>
      </w:pPr>
      <w:r>
        <w:rPr>
          <w:color w:val="auto"/>
          <w:sz w:val="24"/>
          <w:szCs w:val="24"/>
        </w:rPr>
        <w:t>（1）本合同正常履行完毕；</w:t>
      </w:r>
    </w:p>
    <w:p w14:paraId="1216593B">
      <w:pPr>
        <w:snapToGrid w:val="0"/>
        <w:spacing w:line="440" w:lineRule="exact"/>
        <w:ind w:firstLine="480" w:firstLineChars="200"/>
        <w:rPr>
          <w:color w:val="auto"/>
          <w:sz w:val="24"/>
          <w:szCs w:val="24"/>
        </w:rPr>
      </w:pPr>
      <w:r>
        <w:rPr>
          <w:color w:val="auto"/>
          <w:sz w:val="24"/>
          <w:szCs w:val="24"/>
        </w:rPr>
        <w:t>（2）因不可抗力导致本合同无法履行或履行不必要；</w:t>
      </w:r>
    </w:p>
    <w:p w14:paraId="7E69EA3F">
      <w:pPr>
        <w:snapToGrid w:val="0"/>
        <w:spacing w:line="440" w:lineRule="exact"/>
        <w:ind w:firstLine="480" w:firstLineChars="200"/>
        <w:rPr>
          <w:color w:val="auto"/>
          <w:sz w:val="24"/>
          <w:szCs w:val="24"/>
        </w:rPr>
      </w:pPr>
      <w:r>
        <w:rPr>
          <w:color w:val="auto"/>
          <w:sz w:val="24"/>
          <w:szCs w:val="24"/>
        </w:rPr>
        <w:t>（3）任何一方行使解除权解除本合同；</w:t>
      </w:r>
    </w:p>
    <w:p w14:paraId="404C6D78">
      <w:pPr>
        <w:snapToGrid w:val="0"/>
        <w:spacing w:line="440" w:lineRule="exact"/>
        <w:ind w:firstLine="480"/>
        <w:rPr>
          <w:color w:val="auto"/>
          <w:sz w:val="24"/>
          <w:szCs w:val="24"/>
        </w:rPr>
      </w:pPr>
      <w:r>
        <w:rPr>
          <w:color w:val="auto"/>
          <w:sz w:val="24"/>
          <w:szCs w:val="24"/>
        </w:rPr>
        <w:t>（4）合同的继续履行将损害国家利益和社会公共利益。</w:t>
      </w:r>
    </w:p>
    <w:p w14:paraId="4F1074BA">
      <w:pPr>
        <w:snapToGrid w:val="0"/>
        <w:spacing w:line="440" w:lineRule="exact"/>
        <w:ind w:firstLine="480"/>
        <w:rPr>
          <w:color w:val="auto"/>
          <w:sz w:val="24"/>
          <w:szCs w:val="24"/>
        </w:rPr>
      </w:pPr>
      <w:r>
        <w:rPr>
          <w:color w:val="auto"/>
          <w:sz w:val="24"/>
          <w:szCs w:val="24"/>
        </w:rPr>
        <w:t>除上述情形外，甲乙双方不得擅自终止合同。</w:t>
      </w:r>
    </w:p>
    <w:p w14:paraId="455ADF22">
      <w:pPr>
        <w:snapToGrid w:val="0"/>
        <w:spacing w:line="440" w:lineRule="exact"/>
        <w:ind w:firstLine="472" w:firstLineChars="196"/>
        <w:rPr>
          <w:b/>
          <w:color w:val="auto"/>
          <w:sz w:val="24"/>
          <w:szCs w:val="24"/>
        </w:rPr>
      </w:pPr>
      <w:r>
        <w:rPr>
          <w:b/>
          <w:color w:val="auto"/>
          <w:sz w:val="24"/>
          <w:szCs w:val="24"/>
        </w:rPr>
        <w:t>第十</w:t>
      </w:r>
      <w:r>
        <w:rPr>
          <w:rFonts w:hint="eastAsia"/>
          <w:b/>
          <w:color w:val="auto"/>
          <w:sz w:val="24"/>
          <w:szCs w:val="24"/>
        </w:rPr>
        <w:t>六</w:t>
      </w:r>
      <w:r>
        <w:rPr>
          <w:b/>
          <w:color w:val="auto"/>
          <w:sz w:val="24"/>
          <w:szCs w:val="24"/>
        </w:rPr>
        <w:t>条  合同的转让</w:t>
      </w:r>
    </w:p>
    <w:p w14:paraId="4A2EF3D7">
      <w:pPr>
        <w:snapToGrid w:val="0"/>
        <w:spacing w:line="440" w:lineRule="exact"/>
        <w:ind w:firstLine="480" w:firstLineChars="200"/>
        <w:rPr>
          <w:color w:val="auto"/>
          <w:sz w:val="24"/>
          <w:szCs w:val="24"/>
        </w:rPr>
      </w:pPr>
      <w:r>
        <w:rPr>
          <w:color w:val="auto"/>
          <w:sz w:val="24"/>
          <w:szCs w:val="24"/>
        </w:rPr>
        <w:t>除甲方书面同意外，乙方不得将其合同项下的权利义务部分或全部转让给第三方。</w:t>
      </w:r>
    </w:p>
    <w:p w14:paraId="064D6CCE">
      <w:pPr>
        <w:snapToGrid w:val="0"/>
        <w:spacing w:line="440" w:lineRule="exact"/>
        <w:ind w:firstLine="472" w:firstLineChars="196"/>
        <w:rPr>
          <w:color w:val="auto"/>
          <w:sz w:val="24"/>
          <w:szCs w:val="24"/>
        </w:rPr>
      </w:pPr>
      <w:r>
        <w:rPr>
          <w:b/>
          <w:color w:val="auto"/>
          <w:sz w:val="24"/>
          <w:szCs w:val="24"/>
        </w:rPr>
        <w:t>第</w:t>
      </w:r>
      <w:r>
        <w:rPr>
          <w:rFonts w:hint="eastAsia"/>
          <w:b/>
          <w:color w:val="auto"/>
          <w:sz w:val="24"/>
          <w:szCs w:val="24"/>
        </w:rPr>
        <w:t>十七</w:t>
      </w:r>
      <w:r>
        <w:rPr>
          <w:b/>
          <w:color w:val="auto"/>
          <w:sz w:val="24"/>
          <w:szCs w:val="24"/>
        </w:rPr>
        <w:t>条  履约保证金</w:t>
      </w:r>
    </w:p>
    <w:p w14:paraId="6353CB50">
      <w:pPr>
        <w:snapToGrid w:val="0"/>
        <w:spacing w:line="440" w:lineRule="exact"/>
        <w:ind w:firstLine="470" w:firstLineChars="196"/>
        <w:rPr>
          <w:color w:val="auto"/>
          <w:sz w:val="24"/>
          <w:szCs w:val="24"/>
        </w:rPr>
      </w:pPr>
      <w:r>
        <w:rPr>
          <w:color w:val="auto"/>
          <w:sz w:val="24"/>
          <w:szCs w:val="24"/>
        </w:rPr>
        <w:t>履约保证金</w:t>
      </w:r>
      <w:r>
        <w:rPr>
          <w:rFonts w:hint="eastAsia"/>
          <w:color w:val="auto"/>
          <w:sz w:val="24"/>
          <w:szCs w:val="24"/>
        </w:rPr>
        <w:t>：本项目不收取履约保证金</w:t>
      </w:r>
      <w:r>
        <w:rPr>
          <w:color w:val="auto"/>
          <w:sz w:val="24"/>
          <w:szCs w:val="24"/>
        </w:rPr>
        <w:t>。</w:t>
      </w:r>
    </w:p>
    <w:p w14:paraId="20ABA9E9">
      <w:pPr>
        <w:snapToGrid w:val="0"/>
        <w:spacing w:line="440" w:lineRule="exact"/>
        <w:ind w:firstLine="472" w:firstLineChars="196"/>
        <w:rPr>
          <w:b/>
          <w:color w:val="auto"/>
          <w:sz w:val="24"/>
          <w:szCs w:val="24"/>
        </w:rPr>
      </w:pPr>
      <w:r>
        <w:rPr>
          <w:b/>
          <w:color w:val="auto"/>
          <w:sz w:val="24"/>
          <w:szCs w:val="24"/>
        </w:rPr>
        <w:t>第</w:t>
      </w:r>
      <w:r>
        <w:rPr>
          <w:rFonts w:hint="eastAsia"/>
          <w:b/>
          <w:color w:val="auto"/>
          <w:sz w:val="24"/>
          <w:szCs w:val="24"/>
        </w:rPr>
        <w:t>十八</w:t>
      </w:r>
      <w:r>
        <w:rPr>
          <w:b/>
          <w:color w:val="auto"/>
          <w:sz w:val="24"/>
          <w:szCs w:val="24"/>
        </w:rPr>
        <w:t>条  争议解决方式</w:t>
      </w:r>
    </w:p>
    <w:p w14:paraId="74A20E0F">
      <w:pPr>
        <w:snapToGrid w:val="0"/>
        <w:spacing w:line="440" w:lineRule="exact"/>
        <w:ind w:firstLine="480" w:firstLineChars="200"/>
        <w:rPr>
          <w:color w:val="auto"/>
          <w:sz w:val="24"/>
          <w:szCs w:val="24"/>
        </w:rPr>
      </w:pPr>
      <w:r>
        <w:rPr>
          <w:color w:val="auto"/>
          <w:sz w:val="24"/>
          <w:szCs w:val="24"/>
        </w:rPr>
        <w:t>在执行本合同过程中所发生的或与本合同有关的一切争端，甲乙双方应通过友好协商的办法进行解决。如协商不能解决，则向甲方所在地人民法院提起诉讼。</w:t>
      </w:r>
    </w:p>
    <w:p w14:paraId="08023B0E">
      <w:pPr>
        <w:snapToGrid w:val="0"/>
        <w:spacing w:line="440" w:lineRule="exact"/>
        <w:ind w:firstLine="472" w:firstLineChars="196"/>
        <w:rPr>
          <w:b/>
          <w:color w:val="auto"/>
          <w:sz w:val="24"/>
          <w:szCs w:val="24"/>
        </w:rPr>
      </w:pPr>
      <w:r>
        <w:rPr>
          <w:b/>
          <w:color w:val="auto"/>
          <w:sz w:val="24"/>
          <w:szCs w:val="24"/>
        </w:rPr>
        <w:t>第</w:t>
      </w:r>
      <w:r>
        <w:rPr>
          <w:rFonts w:hint="eastAsia"/>
          <w:b/>
          <w:color w:val="auto"/>
          <w:sz w:val="24"/>
          <w:szCs w:val="24"/>
        </w:rPr>
        <w:t>十九</w:t>
      </w:r>
      <w:r>
        <w:rPr>
          <w:b/>
          <w:color w:val="auto"/>
          <w:sz w:val="24"/>
          <w:szCs w:val="24"/>
        </w:rPr>
        <w:t>条  合同生效及其他</w:t>
      </w:r>
    </w:p>
    <w:p w14:paraId="58A04740">
      <w:pPr>
        <w:snapToGrid w:val="0"/>
        <w:spacing w:line="440" w:lineRule="exact"/>
        <w:ind w:firstLine="480" w:firstLineChars="200"/>
        <w:rPr>
          <w:color w:val="auto"/>
          <w:sz w:val="24"/>
          <w:szCs w:val="24"/>
        </w:rPr>
      </w:pPr>
      <w:r>
        <w:rPr>
          <w:color w:val="auto"/>
          <w:sz w:val="24"/>
          <w:szCs w:val="24"/>
        </w:rPr>
        <w:t>1、合同应在甲乙双方代表签字并加盖公章后生效。</w:t>
      </w:r>
    </w:p>
    <w:p w14:paraId="17DA40D0">
      <w:pPr>
        <w:snapToGrid w:val="0"/>
        <w:spacing w:line="440" w:lineRule="exact"/>
        <w:ind w:firstLine="480" w:firstLineChars="200"/>
        <w:rPr>
          <w:color w:val="auto"/>
          <w:sz w:val="24"/>
          <w:szCs w:val="24"/>
        </w:rPr>
      </w:pPr>
      <w:r>
        <w:rPr>
          <w:color w:val="auto"/>
          <w:sz w:val="24"/>
          <w:szCs w:val="24"/>
        </w:rPr>
        <w:t>2、</w:t>
      </w:r>
      <w:r>
        <w:rPr>
          <w:rFonts w:hint="eastAsia"/>
          <w:color w:val="auto"/>
          <w:sz w:val="24"/>
          <w:szCs w:val="24"/>
        </w:rPr>
        <w:t>本合同一式三份，以简体中文书写，甲方、乙方、政府采购监管部门各执一份。</w:t>
      </w:r>
    </w:p>
    <w:p w14:paraId="2AF527E2">
      <w:pPr>
        <w:spacing w:line="440" w:lineRule="exact"/>
        <w:ind w:firstLine="480" w:firstLineChars="200"/>
        <w:rPr>
          <w:color w:val="auto"/>
          <w:sz w:val="24"/>
          <w:szCs w:val="24"/>
        </w:rPr>
      </w:pPr>
      <w:r>
        <w:rPr>
          <w:color w:val="auto"/>
          <w:sz w:val="24"/>
          <w:szCs w:val="24"/>
        </w:rPr>
        <w:t>3、本合同应按照中华人民共和国的现行法律进行解释。</w:t>
      </w:r>
    </w:p>
    <w:p w14:paraId="1A07C50C">
      <w:pPr>
        <w:spacing w:line="480" w:lineRule="exact"/>
        <w:ind w:firstLine="480"/>
        <w:rPr>
          <w:color w:val="auto"/>
          <w:sz w:val="24"/>
          <w:szCs w:val="24"/>
        </w:rPr>
      </w:pPr>
    </w:p>
    <w:p w14:paraId="371F1CD3">
      <w:pPr>
        <w:pStyle w:val="3"/>
        <w:spacing w:line="480" w:lineRule="exact"/>
        <w:rPr>
          <w:rFonts w:ascii="Times New Roman" w:hAnsi="Times New Roman"/>
          <w:color w:val="auto"/>
        </w:rPr>
      </w:pPr>
    </w:p>
    <w:p w14:paraId="3FA19EB9">
      <w:pPr>
        <w:spacing w:line="480" w:lineRule="exact"/>
        <w:ind w:firstLine="480"/>
        <w:rPr>
          <w:color w:val="auto"/>
          <w:sz w:val="24"/>
          <w:szCs w:val="24"/>
        </w:rPr>
      </w:pPr>
      <w:r>
        <w:rPr>
          <w:color w:val="auto"/>
          <w:sz w:val="24"/>
          <w:szCs w:val="24"/>
        </w:rPr>
        <w:t>甲方（单位盖章）</w:t>
      </w:r>
      <w:r>
        <w:rPr>
          <w:rFonts w:hint="eastAsia"/>
          <w:color w:val="auto"/>
          <w:sz w:val="24"/>
          <w:szCs w:val="24"/>
        </w:rPr>
        <w:t>：</w:t>
      </w:r>
      <w:r>
        <w:rPr>
          <w:color w:val="auto"/>
          <w:sz w:val="24"/>
          <w:szCs w:val="24"/>
        </w:rPr>
        <w:t xml:space="preserve">                     乙方（单位盖章）</w:t>
      </w:r>
      <w:r>
        <w:rPr>
          <w:rFonts w:hint="eastAsia"/>
          <w:color w:val="auto"/>
          <w:sz w:val="24"/>
          <w:szCs w:val="24"/>
        </w:rPr>
        <w:t>：</w:t>
      </w:r>
    </w:p>
    <w:p w14:paraId="3652F167">
      <w:pPr>
        <w:spacing w:line="480" w:lineRule="exact"/>
        <w:ind w:firstLine="480"/>
        <w:rPr>
          <w:color w:val="auto"/>
          <w:sz w:val="24"/>
          <w:szCs w:val="24"/>
        </w:rPr>
      </w:pPr>
    </w:p>
    <w:p w14:paraId="2703E039">
      <w:pPr>
        <w:spacing w:line="480" w:lineRule="exact"/>
        <w:ind w:firstLine="480"/>
        <w:rPr>
          <w:color w:val="auto"/>
          <w:sz w:val="24"/>
          <w:szCs w:val="24"/>
        </w:rPr>
      </w:pPr>
      <w:r>
        <w:rPr>
          <w:color w:val="auto"/>
          <w:sz w:val="24"/>
          <w:szCs w:val="24"/>
        </w:rPr>
        <w:t xml:space="preserve">代表签字：                       </w:t>
      </w:r>
      <w:r>
        <w:rPr>
          <w:rFonts w:hint="eastAsia"/>
          <w:color w:val="auto"/>
          <w:sz w:val="24"/>
          <w:szCs w:val="24"/>
        </w:rPr>
        <w:t xml:space="preserve">  </w:t>
      </w:r>
      <w:r>
        <w:rPr>
          <w:color w:val="auto"/>
          <w:sz w:val="24"/>
          <w:szCs w:val="24"/>
        </w:rPr>
        <w:t xml:space="preserve">    代表签字：</w:t>
      </w:r>
    </w:p>
    <w:p w14:paraId="5ABDC272">
      <w:pPr>
        <w:spacing w:line="480" w:lineRule="exact"/>
        <w:ind w:firstLine="480"/>
        <w:rPr>
          <w:color w:val="auto"/>
          <w:sz w:val="24"/>
          <w:szCs w:val="24"/>
        </w:rPr>
      </w:pPr>
    </w:p>
    <w:p w14:paraId="7FAFA5DB">
      <w:pPr>
        <w:spacing w:line="480" w:lineRule="exact"/>
        <w:ind w:firstLine="480"/>
        <w:rPr>
          <w:rFonts w:ascii="Times New Roman"/>
          <w:color w:val="auto"/>
          <w:sz w:val="24"/>
          <w:szCs w:val="24"/>
        </w:rPr>
      </w:pPr>
      <w:r>
        <w:rPr>
          <w:color w:val="auto"/>
          <w:sz w:val="24"/>
          <w:szCs w:val="24"/>
        </w:rPr>
        <w:t xml:space="preserve">日期：                           </w:t>
      </w:r>
      <w:r>
        <w:rPr>
          <w:rFonts w:hint="eastAsia"/>
          <w:color w:val="auto"/>
          <w:sz w:val="24"/>
          <w:szCs w:val="24"/>
        </w:rPr>
        <w:t xml:space="preserve">  </w:t>
      </w:r>
      <w:r>
        <w:rPr>
          <w:color w:val="auto"/>
          <w:sz w:val="24"/>
          <w:szCs w:val="24"/>
        </w:rPr>
        <w:t xml:space="preserve">    日期：</w:t>
      </w:r>
    </w:p>
    <w:p w14:paraId="107AACA9">
      <w:pPr>
        <w:pStyle w:val="4"/>
        <w:jc w:val="center"/>
        <w:rPr>
          <w:rFonts w:ascii="Times New Roman" w:hAnsi="Times New Roman"/>
          <w:color w:val="auto"/>
        </w:rPr>
      </w:pPr>
      <w:bookmarkStart w:id="73" w:name="_Toc450308316"/>
      <w:bookmarkStart w:id="74" w:name="_Toc22908"/>
      <w:bookmarkStart w:id="75" w:name="_Toc450308256"/>
      <w:r>
        <w:rPr>
          <w:rFonts w:ascii="Times New Roman" w:hAnsi="Times New Roman"/>
          <w:color w:val="auto"/>
        </w:rPr>
        <w:br w:type="page" w:clear="all"/>
      </w:r>
      <w:bookmarkEnd w:id="69"/>
      <w:bookmarkStart w:id="76" w:name="_Toc31983"/>
      <w:bookmarkStart w:id="77" w:name="_Toc13244"/>
      <w:bookmarkStart w:id="78" w:name="_Toc28676"/>
      <w:r>
        <w:rPr>
          <w:rFonts w:ascii="Times New Roman" w:hAnsi="Times New Roman"/>
          <w:color w:val="auto"/>
        </w:rPr>
        <w:t xml:space="preserve">第四章  </w:t>
      </w:r>
      <w:r>
        <w:rPr>
          <w:rFonts w:hint="eastAsia" w:ascii="Times New Roman" w:hAnsi="Times New Roman"/>
          <w:color w:val="auto"/>
        </w:rPr>
        <w:t>采购</w:t>
      </w:r>
      <w:r>
        <w:rPr>
          <w:rFonts w:ascii="Times New Roman" w:hAnsi="Times New Roman"/>
          <w:color w:val="auto"/>
        </w:rPr>
        <w:t>需求</w:t>
      </w:r>
      <w:bookmarkEnd w:id="73"/>
      <w:bookmarkEnd w:id="74"/>
      <w:bookmarkEnd w:id="75"/>
      <w:bookmarkEnd w:id="76"/>
      <w:bookmarkEnd w:id="77"/>
      <w:bookmarkEnd w:id="78"/>
      <w:bookmarkStart w:id="79" w:name="_Toc315868059"/>
      <w:bookmarkStart w:id="80" w:name="_Toc158691775"/>
      <w:bookmarkStart w:id="81" w:name="_Toc315875322"/>
    </w:p>
    <w:p w14:paraId="4D3E8AAA">
      <w:pPr>
        <w:spacing w:line="440" w:lineRule="exact"/>
        <w:rPr>
          <w:b/>
          <w:bCs/>
          <w:color w:val="auto"/>
          <w:sz w:val="28"/>
          <w:szCs w:val="28"/>
        </w:rPr>
      </w:pPr>
      <w:bookmarkStart w:id="82" w:name="_Toc1474"/>
      <w:r>
        <w:rPr>
          <w:b/>
          <w:bCs/>
          <w:color w:val="auto"/>
          <w:sz w:val="28"/>
          <w:szCs w:val="28"/>
        </w:rPr>
        <w:t>项目名称：</w:t>
      </w:r>
      <w:r>
        <w:rPr>
          <w:rFonts w:hint="eastAsia"/>
          <w:b/>
          <w:bCs/>
          <w:color w:val="auto"/>
          <w:sz w:val="28"/>
          <w:szCs w:val="28"/>
        </w:rPr>
        <w:t>2026年度江苏省预算管理一体化系统常熟地区实施及运维服务</w:t>
      </w:r>
    </w:p>
    <w:p w14:paraId="735A693B">
      <w:pPr>
        <w:spacing w:line="440" w:lineRule="exact"/>
        <w:rPr>
          <w:rFonts w:hint="eastAsia" w:eastAsia="宋体"/>
          <w:b/>
          <w:bCs/>
          <w:color w:val="auto"/>
          <w:sz w:val="28"/>
          <w:szCs w:val="28"/>
          <w:lang w:eastAsia="zh-CN"/>
        </w:rPr>
      </w:pPr>
      <w:r>
        <w:rPr>
          <w:b/>
          <w:bCs/>
          <w:color w:val="auto"/>
          <w:sz w:val="28"/>
          <w:szCs w:val="28"/>
        </w:rPr>
        <w:t>项目编号：</w:t>
      </w:r>
      <w:r>
        <w:rPr>
          <w:rFonts w:hint="eastAsia"/>
          <w:b/>
          <w:bCs/>
          <w:color w:val="auto"/>
          <w:sz w:val="28"/>
          <w:szCs w:val="28"/>
          <w:lang w:eastAsia="zh-CN"/>
        </w:rPr>
        <w:t>JSZC-320581-XTPC-C2025-0040</w:t>
      </w:r>
    </w:p>
    <w:p w14:paraId="6E83F597">
      <w:pPr>
        <w:spacing w:line="440" w:lineRule="exact"/>
        <w:rPr>
          <w:b/>
          <w:bCs/>
          <w:color w:val="auto"/>
          <w:sz w:val="28"/>
          <w:szCs w:val="28"/>
        </w:rPr>
      </w:pPr>
      <w:r>
        <w:rPr>
          <w:b/>
          <w:bCs/>
          <w:color w:val="auto"/>
          <w:sz w:val="28"/>
          <w:szCs w:val="28"/>
        </w:rPr>
        <w:t>采 购 人：</w:t>
      </w:r>
      <w:bookmarkEnd w:id="82"/>
      <w:r>
        <w:rPr>
          <w:rFonts w:hint="eastAsia"/>
          <w:b/>
          <w:bCs/>
          <w:color w:val="auto"/>
          <w:sz w:val="28"/>
          <w:szCs w:val="28"/>
        </w:rPr>
        <w:t>常熟市财政局</w:t>
      </w:r>
    </w:p>
    <w:p w14:paraId="5771971E">
      <w:pPr>
        <w:spacing w:line="440" w:lineRule="exact"/>
        <w:outlineLvl w:val="1"/>
        <w:rPr>
          <w:b/>
          <w:bCs/>
          <w:color w:val="auto"/>
          <w:sz w:val="28"/>
          <w:szCs w:val="28"/>
        </w:rPr>
      </w:pPr>
      <w:bookmarkStart w:id="83" w:name="_Toc16985"/>
      <w:bookmarkStart w:id="84" w:name="_Toc970"/>
      <w:bookmarkStart w:id="85" w:name="_Toc2252"/>
      <w:bookmarkStart w:id="86" w:name="_Toc32166"/>
      <w:bookmarkStart w:id="87" w:name="_Toc19113"/>
      <w:bookmarkStart w:id="88" w:name="_Toc505107001"/>
      <w:bookmarkStart w:id="89" w:name="_Toc510946684"/>
      <w:r>
        <w:rPr>
          <w:b/>
          <w:bCs/>
          <w:color w:val="auto"/>
          <w:sz w:val="28"/>
          <w:szCs w:val="28"/>
        </w:rPr>
        <w:t>一、项目说明：</w:t>
      </w:r>
      <w:bookmarkEnd w:id="83"/>
      <w:bookmarkEnd w:id="84"/>
      <w:bookmarkEnd w:id="85"/>
      <w:bookmarkEnd w:id="86"/>
      <w:bookmarkEnd w:id="87"/>
    </w:p>
    <w:p w14:paraId="3BBF3E14">
      <w:pPr>
        <w:spacing w:line="440" w:lineRule="exact"/>
        <w:ind w:firstLine="480"/>
        <w:rPr>
          <w:color w:val="auto"/>
          <w:sz w:val="24"/>
          <w:szCs w:val="24"/>
        </w:rPr>
      </w:pPr>
      <w:r>
        <w:rPr>
          <w:rFonts w:hint="eastAsia"/>
          <w:color w:val="auto"/>
          <w:sz w:val="24"/>
          <w:szCs w:val="24"/>
        </w:rPr>
        <w:t>1、项目背景：为保障江苏省预算管理一体化系统在常熟地区稳定持续运行，保证常熟本地财政业务的顺利开展以及财政业务改革的及时推广，需要从技术、管理、实施等各个方面做好省预算管理一体化系统运行的维护支撑和业务拓展保障工作。本项目采购内容为常熟市财政局所需的2026年度江苏省预算管理一体化系统常熟地区实施及运维服务。</w:t>
      </w:r>
    </w:p>
    <w:p w14:paraId="32BD597C">
      <w:pPr>
        <w:widowControl/>
        <w:spacing w:line="440" w:lineRule="exact"/>
        <w:ind w:firstLine="480"/>
        <w:contextualSpacing/>
        <w:jc w:val="left"/>
        <w:rPr>
          <w:color w:val="auto"/>
          <w:sz w:val="24"/>
          <w:szCs w:val="24"/>
        </w:rPr>
      </w:pPr>
      <w:r>
        <w:rPr>
          <w:rFonts w:hint="eastAsia"/>
          <w:color w:val="auto"/>
          <w:sz w:val="24"/>
          <w:szCs w:val="24"/>
        </w:rPr>
        <w:t>2、服务期限：自合同签订之日起1年。</w:t>
      </w:r>
    </w:p>
    <w:p w14:paraId="251ECA2F">
      <w:pPr>
        <w:pStyle w:val="293"/>
        <w:spacing w:line="440" w:lineRule="exact"/>
        <w:ind w:firstLine="480" w:firstLineChars="200"/>
        <w:jc w:val="both"/>
        <w:rPr>
          <w:rFonts w:ascii="Times New Roman" w:hAnsi="Times New Roman"/>
          <w:color w:val="auto"/>
          <w:lang w:val="zh-CN" w:bidi="ar-SA"/>
        </w:rPr>
      </w:pPr>
      <w:bookmarkStart w:id="90" w:name="_Toc178172570"/>
      <w:bookmarkStart w:id="91" w:name="OLE_LINK18"/>
      <w:r>
        <w:rPr>
          <w:rFonts w:hint="eastAsia" w:ascii="Times New Roman" w:hAnsi="Times New Roman"/>
          <w:color w:val="auto"/>
          <w:lang w:val="zh-CN" w:bidi="ar-SA"/>
        </w:rPr>
        <w:t>3、供应商可根据项目实际对现场进行踏勘，如涉及相关费用由供应商自行承担。</w:t>
      </w:r>
      <w:bookmarkEnd w:id="90"/>
    </w:p>
    <w:p w14:paraId="293F2246">
      <w:pPr>
        <w:pStyle w:val="293"/>
        <w:spacing w:line="440" w:lineRule="exact"/>
        <w:ind w:firstLine="480" w:firstLineChars="200"/>
        <w:jc w:val="both"/>
        <w:rPr>
          <w:rFonts w:ascii="Times New Roman" w:hAnsi="Times New Roman"/>
          <w:color w:val="auto"/>
          <w:lang w:val="zh-CN" w:bidi="ar-SA"/>
        </w:rPr>
      </w:pPr>
      <w:r>
        <w:rPr>
          <w:rFonts w:hint="eastAsia" w:ascii="Times New Roman" w:hAnsi="Times New Roman"/>
          <w:color w:val="auto"/>
          <w:lang w:val="zh-CN" w:bidi="ar-SA"/>
        </w:rPr>
        <w:t>现场踏勘联系人：王欢，联系电话：0512-52898579。供应商在报价时应充分考虑现场实际情况，采购人不负担因供应商对项目现场情况考虑不周而产生的其他任何费用。</w:t>
      </w:r>
    </w:p>
    <w:p w14:paraId="7612AFEB">
      <w:pPr>
        <w:pStyle w:val="293"/>
        <w:spacing w:line="440" w:lineRule="exact"/>
        <w:ind w:firstLine="480" w:firstLineChars="200"/>
        <w:jc w:val="both"/>
        <w:rPr>
          <w:rFonts w:ascii="Times New Roman" w:hAnsi="Times New Roman"/>
          <w:color w:val="auto"/>
          <w:lang w:bidi="ar-SA"/>
        </w:rPr>
      </w:pPr>
      <w:bookmarkStart w:id="92" w:name="_Toc178172571"/>
      <w:r>
        <w:rPr>
          <w:rFonts w:hint="eastAsia" w:ascii="Times New Roman" w:hAnsi="Times New Roman"/>
          <w:color w:val="auto"/>
          <w:lang w:val="zh-CN" w:bidi="ar-SA"/>
        </w:rPr>
        <w:t>4、交付地点</w:t>
      </w:r>
      <w:bookmarkEnd w:id="92"/>
      <w:r>
        <w:rPr>
          <w:rFonts w:hint="eastAsia" w:ascii="Times New Roman" w:hAnsi="Times New Roman"/>
          <w:color w:val="auto"/>
        </w:rPr>
        <w:t>：常熟市财政局</w:t>
      </w:r>
    </w:p>
    <w:p w14:paraId="45F3B811">
      <w:pPr>
        <w:spacing w:line="440" w:lineRule="exact"/>
        <w:ind w:firstLine="480"/>
        <w:jc w:val="left"/>
        <w:rPr>
          <w:i/>
          <w:color w:val="auto"/>
          <w:sz w:val="24"/>
          <w:szCs w:val="24"/>
          <w:u w:val="single"/>
        </w:rPr>
      </w:pPr>
      <w:r>
        <w:rPr>
          <w:rFonts w:hint="eastAsia"/>
          <w:i/>
          <w:color w:val="auto"/>
          <w:sz w:val="24"/>
          <w:szCs w:val="24"/>
          <w:u w:val="single"/>
        </w:rPr>
        <w:t>5、结算方式：</w:t>
      </w:r>
    </w:p>
    <w:p w14:paraId="31E93B05">
      <w:pPr>
        <w:spacing w:line="440" w:lineRule="exact"/>
        <w:ind w:firstLine="720"/>
        <w:jc w:val="left"/>
        <w:rPr>
          <w:i/>
          <w:color w:val="auto"/>
          <w:sz w:val="24"/>
          <w:szCs w:val="24"/>
          <w:u w:val="single"/>
        </w:rPr>
      </w:pPr>
      <w:r>
        <w:rPr>
          <w:rFonts w:hint="eastAsia"/>
          <w:i/>
          <w:color w:val="auto"/>
          <w:sz w:val="24"/>
          <w:szCs w:val="24"/>
          <w:u w:val="single"/>
        </w:rPr>
        <w:t>5.1、合同签订后甲方向乙方预付合同总价的10%；</w:t>
      </w:r>
    </w:p>
    <w:p w14:paraId="5B89F64C">
      <w:pPr>
        <w:spacing w:line="440" w:lineRule="exact"/>
        <w:ind w:firstLine="720"/>
        <w:jc w:val="left"/>
        <w:rPr>
          <w:i/>
          <w:color w:val="auto"/>
          <w:sz w:val="24"/>
          <w:szCs w:val="24"/>
          <w:u w:val="single"/>
        </w:rPr>
      </w:pPr>
      <w:r>
        <w:rPr>
          <w:rFonts w:hint="eastAsia"/>
          <w:i/>
          <w:color w:val="auto"/>
          <w:sz w:val="24"/>
          <w:szCs w:val="24"/>
          <w:u w:val="single"/>
        </w:rPr>
        <w:t>5.2、2026年6月30日之前甲方向乙方支付合同总价的50%；</w:t>
      </w:r>
    </w:p>
    <w:p w14:paraId="56BAA663">
      <w:pPr>
        <w:spacing w:line="440" w:lineRule="exact"/>
        <w:ind w:firstLine="720"/>
        <w:jc w:val="left"/>
        <w:rPr>
          <w:i/>
          <w:color w:val="auto"/>
          <w:sz w:val="24"/>
          <w:szCs w:val="24"/>
          <w:u w:val="single"/>
        </w:rPr>
      </w:pPr>
      <w:r>
        <w:rPr>
          <w:i/>
          <w:color w:val="auto"/>
          <w:sz w:val="24"/>
          <w:szCs w:val="24"/>
          <w:u w:val="single"/>
        </w:rPr>
        <w:t>5.3</w:t>
      </w:r>
      <w:r>
        <w:rPr>
          <w:rFonts w:hint="eastAsia"/>
          <w:i/>
          <w:color w:val="auto"/>
          <w:sz w:val="24"/>
          <w:szCs w:val="24"/>
          <w:u w:val="single"/>
        </w:rPr>
        <w:t>、项目验收通过后，系统运行正常，甲方向乙方支付合同总价的40%。</w:t>
      </w:r>
    </w:p>
    <w:p w14:paraId="518E0991">
      <w:pPr>
        <w:spacing w:line="440" w:lineRule="exact"/>
        <w:ind w:firstLine="723"/>
        <w:jc w:val="left"/>
        <w:rPr>
          <w:b/>
          <w:bCs/>
          <w:i/>
          <w:color w:val="auto"/>
          <w:sz w:val="24"/>
          <w:szCs w:val="24"/>
          <w:u w:val="single"/>
        </w:rPr>
      </w:pPr>
      <w:bookmarkStart w:id="93" w:name="OLE_LINK14"/>
      <w:r>
        <w:rPr>
          <w:rFonts w:hint="eastAsia"/>
          <w:b/>
          <w:bCs/>
          <w:i/>
          <w:color w:val="auto"/>
          <w:sz w:val="24"/>
          <w:szCs w:val="24"/>
          <w:u w:val="single"/>
        </w:rPr>
        <w:t>注：（1）供应商不满足上述付款方式的，将失去磋商资格。</w:t>
      </w:r>
    </w:p>
    <w:p w14:paraId="5111E534">
      <w:pPr>
        <w:spacing w:line="440" w:lineRule="exact"/>
        <w:ind w:firstLine="1205"/>
        <w:jc w:val="left"/>
        <w:rPr>
          <w:b/>
          <w:bCs/>
          <w:i/>
          <w:color w:val="auto"/>
          <w:sz w:val="24"/>
          <w:szCs w:val="24"/>
          <w:u w:val="single"/>
        </w:rPr>
      </w:pPr>
      <w:r>
        <w:rPr>
          <w:rFonts w:hint="eastAsia"/>
          <w:b/>
          <w:bCs/>
          <w:i/>
          <w:color w:val="auto"/>
          <w:sz w:val="24"/>
          <w:szCs w:val="24"/>
          <w:u w:val="single"/>
        </w:rPr>
        <w:t>（2）以上每次付款前，成交供应商均应提供符合采购人要求的同等金额的合法有效发票。否则，采购人有权顺延付款时间，且不承担任何违约及/或赔偿责任。</w:t>
      </w:r>
    </w:p>
    <w:p w14:paraId="3692DA73">
      <w:pPr>
        <w:spacing w:line="440" w:lineRule="exact"/>
        <w:ind w:firstLine="1205"/>
        <w:jc w:val="left"/>
        <w:rPr>
          <w:b/>
          <w:bCs/>
          <w:i/>
          <w:color w:val="auto"/>
          <w:sz w:val="24"/>
          <w:szCs w:val="24"/>
          <w:u w:val="single"/>
        </w:rPr>
      </w:pPr>
      <w:r>
        <w:rPr>
          <w:rFonts w:hint="eastAsia"/>
          <w:b/>
          <w:bCs/>
          <w:i/>
          <w:color w:val="auto"/>
          <w:sz w:val="24"/>
          <w:szCs w:val="24"/>
          <w:u w:val="single"/>
        </w:rPr>
        <w:t>（3）本项目支付方式包括但不限于：数字人民币、银行汇票、转账支票等。</w:t>
      </w:r>
    </w:p>
    <w:bookmarkEnd w:id="91"/>
    <w:bookmarkEnd w:id="93"/>
    <w:p w14:paraId="3AD35075">
      <w:pPr>
        <w:spacing w:line="440" w:lineRule="exact"/>
        <w:ind w:firstLine="482" w:firstLineChars="200"/>
        <w:rPr>
          <w:color w:val="auto"/>
          <w:sz w:val="24"/>
          <w:szCs w:val="24"/>
        </w:rPr>
      </w:pPr>
      <w:r>
        <w:rPr>
          <w:rFonts w:hint="eastAsia"/>
          <w:b/>
          <w:bCs/>
          <w:color w:val="auto"/>
          <w:sz w:val="24"/>
          <w:szCs w:val="24"/>
        </w:rPr>
        <w:t>6、本项目采购预算为￥1660000.00元（人民币壹佰陆拾陆万元整），</w:t>
      </w:r>
      <w:r>
        <w:rPr>
          <w:rFonts w:hint="eastAsia"/>
          <w:b/>
          <w:color w:val="auto"/>
          <w:sz w:val="24"/>
          <w:szCs w:val="24"/>
        </w:rPr>
        <w:t>供应商的每轮报价均不得超过采购预算，否则将失去磋商资格。</w:t>
      </w:r>
    </w:p>
    <w:p w14:paraId="57C27ACF">
      <w:pPr>
        <w:spacing w:line="440" w:lineRule="exact"/>
        <w:ind w:firstLine="480"/>
        <w:jc w:val="left"/>
        <w:rPr>
          <w:color w:val="auto"/>
          <w:sz w:val="24"/>
          <w:szCs w:val="24"/>
        </w:rPr>
      </w:pPr>
      <w:r>
        <w:rPr>
          <w:rFonts w:hint="eastAsia"/>
          <w:color w:val="auto"/>
          <w:sz w:val="24"/>
          <w:szCs w:val="24"/>
        </w:rPr>
        <w:t>7、本项目不接受联合体，不得以任何形式进行转包及分包。</w:t>
      </w:r>
    </w:p>
    <w:p w14:paraId="5AEE3D07">
      <w:pPr>
        <w:pStyle w:val="76"/>
        <w:rPr>
          <w:color w:val="auto"/>
          <w:sz w:val="24"/>
          <w:szCs w:val="24"/>
        </w:rPr>
      </w:pPr>
    </w:p>
    <w:p w14:paraId="00A8099E">
      <w:pPr>
        <w:spacing w:line="440" w:lineRule="exact"/>
        <w:outlineLvl w:val="1"/>
        <w:rPr>
          <w:b/>
          <w:bCs/>
          <w:color w:val="auto"/>
          <w:sz w:val="28"/>
          <w:szCs w:val="28"/>
        </w:rPr>
      </w:pPr>
      <w:bookmarkStart w:id="94" w:name="_Toc178172574"/>
      <w:bookmarkStart w:id="95" w:name="_Toc16234"/>
      <w:bookmarkStart w:id="96" w:name="_Toc10201"/>
      <w:bookmarkStart w:id="97" w:name="_Toc16703"/>
      <w:r>
        <w:rPr>
          <w:rFonts w:hint="eastAsia"/>
          <w:b/>
          <w:bCs/>
          <w:color w:val="auto"/>
          <w:sz w:val="28"/>
          <w:szCs w:val="28"/>
        </w:rPr>
        <w:t>二、项目服务内容</w:t>
      </w:r>
      <w:bookmarkEnd w:id="94"/>
      <w:r>
        <w:rPr>
          <w:rFonts w:hint="eastAsia"/>
          <w:b/>
          <w:bCs/>
          <w:color w:val="auto"/>
          <w:sz w:val="28"/>
          <w:szCs w:val="28"/>
        </w:rPr>
        <w:t>及服务要求</w:t>
      </w:r>
      <w:bookmarkEnd w:id="95"/>
    </w:p>
    <w:bookmarkEnd w:id="88"/>
    <w:bookmarkEnd w:id="89"/>
    <w:bookmarkEnd w:id="96"/>
    <w:bookmarkEnd w:id="97"/>
    <w:p w14:paraId="49859E3B">
      <w:pPr>
        <w:pStyle w:val="274"/>
        <w:spacing w:line="440" w:lineRule="exact"/>
        <w:outlineLvl w:val="2"/>
        <w:rPr>
          <w:rFonts w:cs="宋体"/>
          <w:b/>
          <w:bCs/>
          <w:color w:val="auto"/>
          <w:sz w:val="24"/>
        </w:rPr>
      </w:pPr>
      <w:bookmarkStart w:id="98" w:name="_Toc533"/>
      <w:bookmarkStart w:id="99" w:name="_Toc6180"/>
      <w:bookmarkStart w:id="100" w:name="_Toc510946685"/>
      <w:bookmarkStart w:id="101" w:name="_Toc505107002"/>
      <w:r>
        <w:rPr>
          <w:rFonts w:hint="eastAsia" w:cs="宋体"/>
          <w:b/>
          <w:bCs/>
          <w:color w:val="auto"/>
          <w:sz w:val="24"/>
        </w:rPr>
        <w:t>包括但不限于以下内容：</w:t>
      </w:r>
      <w:bookmarkEnd w:id="98"/>
      <w:bookmarkEnd w:id="99"/>
    </w:p>
    <w:p w14:paraId="2614213E">
      <w:pPr>
        <w:pStyle w:val="274"/>
        <w:spacing w:line="440" w:lineRule="exact"/>
        <w:outlineLvl w:val="2"/>
        <w:rPr>
          <w:rFonts w:cs="宋体"/>
          <w:b/>
          <w:bCs/>
          <w:color w:val="auto"/>
          <w:sz w:val="24"/>
        </w:rPr>
      </w:pPr>
      <w:bookmarkStart w:id="102" w:name="_Toc13969"/>
      <w:bookmarkStart w:id="103" w:name="_Toc31173"/>
      <w:r>
        <w:rPr>
          <w:rFonts w:hint="eastAsia" w:cs="宋体"/>
          <w:b/>
          <w:bCs/>
          <w:color w:val="auto"/>
          <w:sz w:val="24"/>
        </w:rPr>
        <w:t>（一）省预算管理一体化系统实施及运维（含一体化单位会计核算）</w:t>
      </w:r>
      <w:bookmarkEnd w:id="102"/>
      <w:bookmarkEnd w:id="103"/>
    </w:p>
    <w:p w14:paraId="6D4C045D">
      <w:pPr>
        <w:spacing w:line="440" w:lineRule="exact"/>
        <w:ind w:firstLine="480"/>
        <w:jc w:val="left"/>
        <w:rPr>
          <w:bCs/>
          <w:color w:val="auto"/>
          <w:sz w:val="24"/>
          <w:szCs w:val="24"/>
        </w:rPr>
      </w:pPr>
      <w:r>
        <w:rPr>
          <w:rFonts w:hint="eastAsia"/>
          <w:bCs/>
          <w:color w:val="auto"/>
          <w:sz w:val="24"/>
          <w:szCs w:val="24"/>
        </w:rPr>
        <w:t>根据江苏省财政统一规划，负责2026年度江苏省财政预算管理一体化系统（以下简称“一体化系统”）在常熟地区的实施部署、运维保障和财政业务支持工作。</w:t>
      </w:r>
    </w:p>
    <w:p w14:paraId="18505082">
      <w:pPr>
        <w:spacing w:line="440" w:lineRule="exact"/>
        <w:ind w:firstLine="480"/>
        <w:jc w:val="left"/>
        <w:rPr>
          <w:b/>
          <w:bCs/>
          <w:color w:val="auto"/>
          <w:sz w:val="24"/>
          <w:szCs w:val="24"/>
        </w:rPr>
      </w:pPr>
      <w:r>
        <w:rPr>
          <w:rFonts w:hint="eastAsia"/>
          <w:b/>
          <w:bCs/>
          <w:color w:val="auto"/>
          <w:sz w:val="24"/>
          <w:szCs w:val="24"/>
        </w:rPr>
        <w:t>1、系统实施服务</w:t>
      </w:r>
    </w:p>
    <w:p w14:paraId="5C2D5448">
      <w:pPr>
        <w:spacing w:line="440" w:lineRule="exact"/>
        <w:ind w:firstLine="480"/>
        <w:jc w:val="left"/>
        <w:rPr>
          <w:color w:val="auto"/>
          <w:sz w:val="24"/>
          <w:szCs w:val="24"/>
        </w:rPr>
      </w:pPr>
      <w:r>
        <w:rPr>
          <w:rFonts w:hint="eastAsia"/>
          <w:color w:val="auto"/>
          <w:sz w:val="24"/>
          <w:szCs w:val="24"/>
        </w:rPr>
        <w:t>根据省厅统一标准，完成一体化系统在常熟地区新增业务的实施配置等相关工作。</w:t>
      </w:r>
    </w:p>
    <w:p w14:paraId="52072BD1">
      <w:pPr>
        <w:spacing w:line="440" w:lineRule="exact"/>
        <w:ind w:firstLine="480"/>
        <w:jc w:val="left"/>
        <w:rPr>
          <w:b/>
          <w:bCs/>
          <w:color w:val="auto"/>
          <w:sz w:val="24"/>
          <w:szCs w:val="24"/>
        </w:rPr>
      </w:pPr>
      <w:r>
        <w:rPr>
          <w:rFonts w:hint="eastAsia"/>
          <w:b/>
          <w:bCs/>
          <w:color w:val="auto"/>
          <w:sz w:val="24"/>
          <w:szCs w:val="24"/>
        </w:rPr>
        <w:t>2、系统日常维护</w:t>
      </w:r>
    </w:p>
    <w:p w14:paraId="7828CCB6">
      <w:pPr>
        <w:spacing w:line="440" w:lineRule="exact"/>
        <w:ind w:firstLine="480"/>
        <w:jc w:val="left"/>
        <w:rPr>
          <w:color w:val="auto"/>
          <w:sz w:val="24"/>
          <w:szCs w:val="24"/>
        </w:rPr>
      </w:pPr>
      <w:r>
        <w:rPr>
          <w:rFonts w:hint="eastAsia"/>
          <w:color w:val="auto"/>
          <w:sz w:val="24"/>
          <w:szCs w:val="24"/>
        </w:rPr>
        <w:t>系统日常维护相关工作包括：</w:t>
      </w:r>
    </w:p>
    <w:p w14:paraId="50424F83">
      <w:pPr>
        <w:spacing w:line="440" w:lineRule="exact"/>
        <w:ind w:firstLine="480"/>
        <w:jc w:val="left"/>
        <w:rPr>
          <w:color w:val="auto"/>
          <w:sz w:val="24"/>
          <w:szCs w:val="24"/>
        </w:rPr>
      </w:pPr>
      <w:r>
        <w:rPr>
          <w:rFonts w:hint="eastAsia"/>
          <w:color w:val="auto"/>
          <w:sz w:val="24"/>
          <w:szCs w:val="24"/>
        </w:rPr>
        <w:t>（1）提供日常操作业务咨询、修复异常业务操作。</w:t>
      </w:r>
    </w:p>
    <w:p w14:paraId="1AF135ED">
      <w:pPr>
        <w:spacing w:line="440" w:lineRule="exact"/>
        <w:ind w:firstLine="480"/>
        <w:jc w:val="left"/>
        <w:rPr>
          <w:color w:val="auto"/>
          <w:sz w:val="24"/>
          <w:szCs w:val="24"/>
        </w:rPr>
      </w:pPr>
      <w:r>
        <w:rPr>
          <w:rFonts w:hint="eastAsia"/>
          <w:color w:val="auto"/>
          <w:sz w:val="24"/>
          <w:szCs w:val="24"/>
        </w:rPr>
        <w:t>（2）查询报表，机制凭证生成模板、会计报表以及凭证、账簿打印模板等调整。</w:t>
      </w:r>
    </w:p>
    <w:p w14:paraId="32AE76B4">
      <w:pPr>
        <w:spacing w:line="440" w:lineRule="exact"/>
        <w:ind w:firstLine="480"/>
        <w:jc w:val="left"/>
        <w:rPr>
          <w:color w:val="auto"/>
          <w:sz w:val="24"/>
          <w:szCs w:val="24"/>
        </w:rPr>
      </w:pPr>
      <w:r>
        <w:rPr>
          <w:rFonts w:hint="eastAsia"/>
          <w:color w:val="auto"/>
          <w:sz w:val="24"/>
          <w:szCs w:val="24"/>
        </w:rPr>
        <w:t>（3）保障系统年底结转结余、新年度初始化，以及日常业务调整、配置工作，包括但不仅限于系统参数、业务规则、组织机构、用户权限、核算账套、银行账户的调整。</w:t>
      </w:r>
    </w:p>
    <w:p w14:paraId="6A0C944E">
      <w:pPr>
        <w:spacing w:line="440" w:lineRule="exact"/>
        <w:ind w:firstLine="480"/>
        <w:jc w:val="left"/>
        <w:rPr>
          <w:color w:val="auto"/>
          <w:sz w:val="24"/>
          <w:szCs w:val="24"/>
        </w:rPr>
      </w:pPr>
      <w:r>
        <w:rPr>
          <w:rFonts w:hint="eastAsia"/>
          <w:color w:val="auto"/>
          <w:sz w:val="24"/>
          <w:szCs w:val="24"/>
        </w:rPr>
        <w:t>（4）电子凭证库技术支持，包括但不仅限于咨询服务、</w:t>
      </w:r>
      <w:r>
        <w:rPr>
          <w:rFonts w:hint="eastAsia" w:ascii="宋体" w:hAnsi="宋体" w:cs="宋体"/>
          <w:color w:val="auto"/>
          <w:spacing w:val="7"/>
          <w:sz w:val="24"/>
          <w:szCs w:val="24"/>
        </w:rPr>
        <w:t>报文规范变动调整、配置及联调服务、凭证接收或签收失败的数据服务、电子凭证模板调整</w:t>
      </w:r>
      <w:r>
        <w:rPr>
          <w:rFonts w:hint="eastAsia"/>
          <w:color w:val="auto"/>
          <w:sz w:val="24"/>
          <w:szCs w:val="24"/>
        </w:rPr>
        <w:t>。</w:t>
      </w:r>
    </w:p>
    <w:p w14:paraId="7FA26806">
      <w:pPr>
        <w:spacing w:line="440" w:lineRule="exact"/>
        <w:ind w:firstLine="480"/>
        <w:jc w:val="left"/>
        <w:rPr>
          <w:color w:val="auto"/>
          <w:sz w:val="24"/>
          <w:szCs w:val="24"/>
        </w:rPr>
      </w:pPr>
      <w:r>
        <w:rPr>
          <w:rFonts w:hint="eastAsia"/>
          <w:color w:val="auto"/>
          <w:sz w:val="24"/>
          <w:szCs w:val="24"/>
        </w:rPr>
        <w:t>（5）收集整理各类系统故障记录，分析具体原因，通过江苏财政运维管理系统提交省运维中心。</w:t>
      </w:r>
    </w:p>
    <w:p w14:paraId="147D9968">
      <w:pPr>
        <w:spacing w:line="440" w:lineRule="exact"/>
        <w:ind w:firstLine="480"/>
        <w:jc w:val="left"/>
        <w:rPr>
          <w:color w:val="auto"/>
          <w:sz w:val="24"/>
          <w:szCs w:val="24"/>
        </w:rPr>
      </w:pPr>
      <w:r>
        <w:rPr>
          <w:rFonts w:hint="eastAsia"/>
          <w:color w:val="auto"/>
          <w:sz w:val="24"/>
          <w:szCs w:val="24"/>
        </w:rPr>
        <w:t>（6）提供系统实施和运行维护文档，包括且不限于用户手册、系统手册、常见问题、应急预案、故障紧急处理措施等。</w:t>
      </w:r>
    </w:p>
    <w:p w14:paraId="3172DB90">
      <w:pPr>
        <w:spacing w:line="440" w:lineRule="exact"/>
        <w:ind w:firstLine="480"/>
        <w:jc w:val="left"/>
        <w:rPr>
          <w:color w:val="auto"/>
          <w:sz w:val="24"/>
          <w:szCs w:val="24"/>
        </w:rPr>
      </w:pPr>
      <w:r>
        <w:rPr>
          <w:rFonts w:hint="eastAsia"/>
          <w:color w:val="auto"/>
          <w:sz w:val="24"/>
          <w:szCs w:val="24"/>
        </w:rPr>
        <w:t>（7）根据实际情况，完成其他一体化系统运维所需工作。</w:t>
      </w:r>
    </w:p>
    <w:p w14:paraId="1E5DE04E">
      <w:pPr>
        <w:spacing w:line="440" w:lineRule="exact"/>
        <w:ind w:firstLine="480"/>
        <w:jc w:val="left"/>
        <w:rPr>
          <w:b/>
          <w:bCs/>
          <w:color w:val="auto"/>
          <w:sz w:val="24"/>
          <w:szCs w:val="24"/>
        </w:rPr>
      </w:pPr>
      <w:r>
        <w:rPr>
          <w:rFonts w:hint="eastAsia"/>
          <w:b/>
          <w:bCs/>
          <w:color w:val="auto"/>
          <w:sz w:val="24"/>
          <w:szCs w:val="24"/>
        </w:rPr>
        <w:t>3、系统功能完善</w:t>
      </w:r>
    </w:p>
    <w:p w14:paraId="39382673">
      <w:pPr>
        <w:spacing w:line="440" w:lineRule="exact"/>
        <w:ind w:firstLine="480"/>
        <w:jc w:val="left"/>
        <w:rPr>
          <w:rFonts w:hint="eastAsia"/>
          <w:color w:val="auto"/>
          <w:sz w:val="24"/>
          <w:szCs w:val="24"/>
        </w:rPr>
      </w:pPr>
      <w:r>
        <w:rPr>
          <w:rFonts w:hint="eastAsia"/>
          <w:color w:val="auto"/>
          <w:sz w:val="24"/>
          <w:szCs w:val="24"/>
        </w:rPr>
        <w:t>根据常熟市本地需求，与省预算管理一体化软件开发、运维团队对接，对省预算管理一体化系统进行功能拓展开发和功能优化。主要包括：</w:t>
      </w:r>
    </w:p>
    <w:p w14:paraId="0C21CE47">
      <w:pPr>
        <w:spacing w:line="440" w:lineRule="exact"/>
        <w:ind w:firstLine="480"/>
        <w:jc w:val="left"/>
        <w:rPr>
          <w:rFonts w:hint="eastAsia"/>
          <w:color w:val="auto"/>
          <w:sz w:val="24"/>
          <w:szCs w:val="24"/>
        </w:rPr>
      </w:pPr>
      <w:r>
        <w:rPr>
          <w:rFonts w:hint="eastAsia"/>
          <w:color w:val="auto"/>
          <w:sz w:val="24"/>
          <w:szCs w:val="24"/>
        </w:rPr>
        <w:t>（1）收集、梳理常熟市财政局优化系统操作的合理需求，积极与省厅开发、运维团队对接。</w:t>
      </w:r>
    </w:p>
    <w:p w14:paraId="42244013">
      <w:pPr>
        <w:spacing w:line="440" w:lineRule="exact"/>
        <w:ind w:firstLine="480"/>
        <w:jc w:val="left"/>
        <w:rPr>
          <w:rFonts w:hint="eastAsia"/>
          <w:color w:val="auto"/>
          <w:sz w:val="24"/>
          <w:szCs w:val="24"/>
        </w:rPr>
      </w:pPr>
      <w:r>
        <w:rPr>
          <w:rFonts w:hint="eastAsia"/>
          <w:color w:val="auto"/>
          <w:sz w:val="24"/>
          <w:szCs w:val="24"/>
        </w:rPr>
        <w:t>（2）根据财政业务管理模式的微调和变更等需求，对接配合软件开发商，进行需求调研，调整方案的制定，并完成测试及更新上线。</w:t>
      </w:r>
    </w:p>
    <w:p w14:paraId="54A853D1">
      <w:pPr>
        <w:spacing w:line="440" w:lineRule="exact"/>
        <w:ind w:firstLine="480"/>
        <w:jc w:val="left"/>
        <w:rPr>
          <w:rFonts w:hint="eastAsia"/>
          <w:color w:val="auto"/>
          <w:sz w:val="24"/>
          <w:szCs w:val="24"/>
        </w:rPr>
      </w:pPr>
      <w:r>
        <w:rPr>
          <w:rFonts w:hint="eastAsia"/>
          <w:color w:val="auto"/>
          <w:sz w:val="24"/>
          <w:szCs w:val="24"/>
        </w:rPr>
        <w:t>（3）根据财政及用户单位需求，配合软件开发商完成软件性能的优化，提高系统的运行效率。</w:t>
      </w:r>
    </w:p>
    <w:p w14:paraId="1272E4A2">
      <w:pPr>
        <w:spacing w:line="440" w:lineRule="exact"/>
        <w:ind w:firstLine="480"/>
        <w:jc w:val="left"/>
        <w:rPr>
          <w:color w:val="auto"/>
          <w:sz w:val="24"/>
          <w:szCs w:val="24"/>
        </w:rPr>
      </w:pPr>
      <w:r>
        <w:rPr>
          <w:rFonts w:hint="eastAsia"/>
          <w:color w:val="auto"/>
          <w:sz w:val="24"/>
          <w:szCs w:val="24"/>
        </w:rPr>
        <w:t>（4）在实施及运维过程中总结经验教训，针对优化用户管理制度、完善业务流程规范性等方面提出合理化建议。</w:t>
      </w:r>
    </w:p>
    <w:p w14:paraId="5CB9DB97">
      <w:pPr>
        <w:spacing w:line="440" w:lineRule="exact"/>
        <w:ind w:firstLine="480"/>
        <w:jc w:val="left"/>
        <w:rPr>
          <w:b/>
          <w:bCs/>
          <w:color w:val="auto"/>
          <w:sz w:val="24"/>
          <w:szCs w:val="24"/>
        </w:rPr>
      </w:pPr>
      <w:r>
        <w:rPr>
          <w:rFonts w:hint="eastAsia"/>
          <w:b/>
          <w:bCs/>
          <w:color w:val="auto"/>
          <w:sz w:val="24"/>
          <w:szCs w:val="24"/>
        </w:rPr>
        <w:t>4、系统培训服务</w:t>
      </w:r>
    </w:p>
    <w:p w14:paraId="50775B8F">
      <w:pPr>
        <w:spacing w:line="440" w:lineRule="exact"/>
        <w:ind w:firstLine="480"/>
        <w:jc w:val="left"/>
        <w:rPr>
          <w:rFonts w:hint="eastAsia"/>
          <w:color w:val="auto"/>
          <w:sz w:val="24"/>
          <w:szCs w:val="24"/>
        </w:rPr>
      </w:pPr>
      <w:r>
        <w:rPr>
          <w:rFonts w:hint="eastAsia"/>
          <w:color w:val="auto"/>
          <w:sz w:val="24"/>
          <w:szCs w:val="24"/>
        </w:rPr>
        <w:t>对系统用户提供咨询、操作指导和培训服务。系统培训包括两种：</w:t>
      </w:r>
    </w:p>
    <w:p w14:paraId="00B744AD">
      <w:pPr>
        <w:spacing w:line="440" w:lineRule="exact"/>
        <w:ind w:firstLine="480"/>
        <w:jc w:val="left"/>
        <w:rPr>
          <w:rFonts w:hint="eastAsia"/>
          <w:color w:val="auto"/>
          <w:sz w:val="24"/>
          <w:szCs w:val="24"/>
        </w:rPr>
      </w:pPr>
      <w:r>
        <w:rPr>
          <w:rFonts w:hint="eastAsia"/>
          <w:color w:val="auto"/>
          <w:sz w:val="24"/>
          <w:szCs w:val="24"/>
        </w:rPr>
        <w:t>（1）最终用户培训：针对预算单位或财政业务人员的操作培训，侧重业务管理与系统的管理操作。不限于集中培训和上门辅导培训服务等方式。</w:t>
      </w:r>
    </w:p>
    <w:p w14:paraId="15FF5722">
      <w:pPr>
        <w:spacing w:line="440" w:lineRule="exact"/>
        <w:ind w:firstLine="480"/>
        <w:jc w:val="left"/>
        <w:rPr>
          <w:color w:val="auto"/>
          <w:sz w:val="24"/>
          <w:szCs w:val="24"/>
        </w:rPr>
      </w:pPr>
      <w:r>
        <w:rPr>
          <w:rFonts w:hint="eastAsia"/>
          <w:color w:val="auto"/>
          <w:sz w:val="24"/>
          <w:szCs w:val="24"/>
        </w:rPr>
        <w:t>（2）系统管理用户培训：针对系统管理人员的培训，侧重系统管理、配置、维护的培训，包括基础数据管理、用户角色授权、工作流管理、报表管理等系统功能。</w:t>
      </w:r>
    </w:p>
    <w:p w14:paraId="7FBE7596">
      <w:pPr>
        <w:spacing w:line="440" w:lineRule="exact"/>
        <w:ind w:firstLine="480"/>
        <w:jc w:val="left"/>
        <w:rPr>
          <w:b/>
          <w:bCs/>
          <w:color w:val="auto"/>
          <w:sz w:val="24"/>
          <w:szCs w:val="24"/>
        </w:rPr>
      </w:pPr>
      <w:r>
        <w:rPr>
          <w:rFonts w:hint="eastAsia"/>
          <w:b/>
          <w:bCs/>
          <w:color w:val="auto"/>
          <w:sz w:val="24"/>
          <w:szCs w:val="24"/>
        </w:rPr>
        <w:t>5、系统应急服务</w:t>
      </w:r>
    </w:p>
    <w:p w14:paraId="48B1EB36">
      <w:pPr>
        <w:spacing w:line="440" w:lineRule="exact"/>
        <w:ind w:firstLine="480"/>
        <w:jc w:val="left"/>
        <w:rPr>
          <w:color w:val="auto"/>
          <w:sz w:val="24"/>
          <w:szCs w:val="24"/>
        </w:rPr>
      </w:pPr>
      <w:r>
        <w:rPr>
          <w:rFonts w:hint="eastAsia"/>
          <w:color w:val="auto"/>
          <w:sz w:val="24"/>
          <w:szCs w:val="24"/>
        </w:rPr>
        <w:t>提供系统应急服务，主要包括：</w:t>
      </w:r>
    </w:p>
    <w:p w14:paraId="6C9949DC">
      <w:pPr>
        <w:spacing w:line="440" w:lineRule="exact"/>
        <w:ind w:firstLine="480"/>
        <w:jc w:val="left"/>
        <w:rPr>
          <w:color w:val="auto"/>
          <w:sz w:val="24"/>
          <w:szCs w:val="24"/>
        </w:rPr>
      </w:pPr>
      <w:r>
        <w:rPr>
          <w:rFonts w:hint="eastAsia"/>
          <w:color w:val="auto"/>
          <w:sz w:val="24"/>
          <w:szCs w:val="24"/>
        </w:rPr>
        <w:t>（1）为降低系统运行风险，在系统上线或更新前需提交应急事件处理方案，用于应对系统上线或更新后的问题处理。应急事件处理方案内容包括应急处置范围、应急处置方案风险分析、应急处置验证通过和失败准则、应急处置方法、应急处置问题跟踪策略等。</w:t>
      </w:r>
    </w:p>
    <w:p w14:paraId="4FB3758E">
      <w:pPr>
        <w:spacing w:line="440" w:lineRule="exact"/>
        <w:ind w:firstLine="480"/>
        <w:jc w:val="left"/>
        <w:rPr>
          <w:color w:val="auto"/>
          <w:sz w:val="24"/>
          <w:szCs w:val="24"/>
        </w:rPr>
      </w:pPr>
      <w:r>
        <w:rPr>
          <w:rFonts w:hint="eastAsia"/>
          <w:color w:val="auto"/>
          <w:sz w:val="24"/>
          <w:szCs w:val="24"/>
        </w:rPr>
        <w:t>（2）为保障业务高峰期内系统平稳运行，需根据财政业务周期性特点，加大运维保障力度，增加驻场服务，以缓解业务高峰期间的系统压力风险。</w:t>
      </w:r>
    </w:p>
    <w:p w14:paraId="32B1B382">
      <w:pPr>
        <w:spacing w:line="440" w:lineRule="exact"/>
        <w:ind w:firstLine="480"/>
        <w:jc w:val="left"/>
        <w:rPr>
          <w:b/>
          <w:bCs/>
          <w:color w:val="auto"/>
          <w:sz w:val="24"/>
          <w:szCs w:val="24"/>
        </w:rPr>
      </w:pPr>
      <w:r>
        <w:rPr>
          <w:rFonts w:hint="eastAsia"/>
          <w:b/>
          <w:bCs/>
          <w:color w:val="auto"/>
          <w:sz w:val="24"/>
          <w:szCs w:val="24"/>
        </w:rPr>
        <w:t>6、专业增值服务</w:t>
      </w:r>
    </w:p>
    <w:p w14:paraId="664063C8">
      <w:pPr>
        <w:spacing w:line="440" w:lineRule="exact"/>
        <w:ind w:firstLine="480"/>
        <w:jc w:val="left"/>
        <w:rPr>
          <w:color w:val="auto"/>
          <w:sz w:val="24"/>
          <w:szCs w:val="24"/>
        </w:rPr>
      </w:pPr>
      <w:r>
        <w:rPr>
          <w:rFonts w:hint="eastAsia"/>
          <w:color w:val="auto"/>
          <w:sz w:val="24"/>
          <w:szCs w:val="24"/>
        </w:rPr>
        <w:t>单位会计核算软件应提供历史数据导入功能，将符合国标数据导入，并提供查询界面，承建商提供相关配合工作，保障历史数据准确、完整导入。</w:t>
      </w:r>
    </w:p>
    <w:p w14:paraId="4F40DC87">
      <w:pPr>
        <w:spacing w:line="440" w:lineRule="exact"/>
        <w:ind w:firstLine="480"/>
        <w:jc w:val="left"/>
        <w:rPr>
          <w:b/>
          <w:bCs/>
          <w:color w:val="auto"/>
          <w:sz w:val="24"/>
          <w:szCs w:val="24"/>
        </w:rPr>
      </w:pPr>
      <w:r>
        <w:rPr>
          <w:rFonts w:hint="eastAsia"/>
          <w:b/>
          <w:bCs/>
          <w:color w:val="auto"/>
          <w:sz w:val="24"/>
          <w:szCs w:val="24"/>
        </w:rPr>
        <w:t>7、其他服务</w:t>
      </w:r>
    </w:p>
    <w:p w14:paraId="0658FDF7">
      <w:pPr>
        <w:spacing w:line="440" w:lineRule="exact"/>
        <w:ind w:firstLine="480"/>
        <w:jc w:val="left"/>
        <w:rPr>
          <w:color w:val="auto"/>
          <w:sz w:val="24"/>
          <w:szCs w:val="24"/>
        </w:rPr>
      </w:pPr>
      <w:r>
        <w:rPr>
          <w:rFonts w:hint="eastAsia"/>
          <w:color w:val="auto"/>
          <w:sz w:val="24"/>
          <w:szCs w:val="24"/>
        </w:rPr>
        <w:t>采购人及系统用户的其他相关服务要求。</w:t>
      </w:r>
    </w:p>
    <w:p w14:paraId="1F1394D2">
      <w:pPr>
        <w:pStyle w:val="2"/>
        <w:ind w:firstLine="0"/>
        <w:rPr>
          <w:rFonts w:ascii="Times New Roman"/>
          <w:color w:val="auto"/>
          <w:sz w:val="24"/>
          <w:szCs w:val="24"/>
        </w:rPr>
      </w:pPr>
    </w:p>
    <w:p w14:paraId="4D40F695">
      <w:pPr>
        <w:pStyle w:val="274"/>
        <w:spacing w:line="440" w:lineRule="exact"/>
        <w:outlineLvl w:val="2"/>
        <w:rPr>
          <w:rFonts w:cs="宋体"/>
          <w:b/>
          <w:bCs/>
          <w:color w:val="auto"/>
          <w:sz w:val="24"/>
        </w:rPr>
      </w:pPr>
      <w:bookmarkStart w:id="104" w:name="_Toc23843"/>
      <w:bookmarkStart w:id="105" w:name="_Toc16167"/>
      <w:r>
        <w:rPr>
          <w:rFonts w:hint="eastAsia" w:cs="宋体"/>
          <w:b/>
          <w:bCs/>
          <w:color w:val="auto"/>
          <w:sz w:val="24"/>
        </w:rPr>
        <w:t>（二）资产云平台运维</w:t>
      </w:r>
      <w:bookmarkEnd w:id="104"/>
      <w:bookmarkEnd w:id="105"/>
    </w:p>
    <w:p w14:paraId="5040981B">
      <w:pPr>
        <w:spacing w:line="440" w:lineRule="exact"/>
        <w:ind w:firstLine="480"/>
        <w:jc w:val="left"/>
        <w:rPr>
          <w:color w:val="auto"/>
          <w:sz w:val="24"/>
          <w:szCs w:val="24"/>
        </w:rPr>
      </w:pPr>
      <w:r>
        <w:rPr>
          <w:rFonts w:hint="eastAsia"/>
          <w:color w:val="auto"/>
          <w:sz w:val="24"/>
          <w:szCs w:val="24"/>
        </w:rPr>
        <w:t>负责江苏财政预算管理一体化资产云平台（下称资产云）常熟地区运维及实施服务。包括：</w:t>
      </w:r>
    </w:p>
    <w:p w14:paraId="591825D0">
      <w:pPr>
        <w:spacing w:line="440" w:lineRule="exact"/>
        <w:ind w:firstLine="480"/>
        <w:jc w:val="left"/>
        <w:rPr>
          <w:color w:val="auto"/>
          <w:sz w:val="24"/>
          <w:szCs w:val="24"/>
        </w:rPr>
      </w:pPr>
      <w:r>
        <w:rPr>
          <w:rFonts w:hint="eastAsia"/>
          <w:color w:val="auto"/>
          <w:sz w:val="24"/>
          <w:szCs w:val="24"/>
        </w:rPr>
        <w:t>1、提供运维服务，当系统发生问题时，以标准化的服务规范和流程为基础，为用户提供 热线服务、远程协助、在线服务、邮件服务等多种方式的全面服务，从而更直接、快速地为客户免费的排除故障，解决问题。</w:t>
      </w:r>
    </w:p>
    <w:p w14:paraId="0E6F8CE2">
      <w:pPr>
        <w:spacing w:line="440" w:lineRule="exact"/>
        <w:ind w:firstLine="480"/>
        <w:jc w:val="left"/>
        <w:rPr>
          <w:color w:val="auto"/>
          <w:sz w:val="24"/>
          <w:szCs w:val="24"/>
        </w:rPr>
      </w:pPr>
      <w:r>
        <w:rPr>
          <w:rFonts w:hint="eastAsia"/>
          <w:color w:val="auto"/>
          <w:sz w:val="24"/>
          <w:szCs w:val="24"/>
        </w:rPr>
        <w:t>2、提供操作手册和操作视频更新，针对资产云平台新增功能和优化功能，升级系统操作手册，并将功能升级情况及时告知用户。</w:t>
      </w:r>
    </w:p>
    <w:p w14:paraId="687C784A">
      <w:pPr>
        <w:spacing w:line="440" w:lineRule="exact"/>
        <w:ind w:firstLine="480"/>
        <w:jc w:val="left"/>
        <w:rPr>
          <w:color w:val="auto"/>
          <w:sz w:val="24"/>
          <w:szCs w:val="24"/>
        </w:rPr>
      </w:pPr>
      <w:r>
        <w:rPr>
          <w:rFonts w:hint="eastAsia"/>
          <w:color w:val="auto"/>
          <w:sz w:val="24"/>
          <w:szCs w:val="24"/>
        </w:rPr>
        <w:t>3、维护资产云平台在常熟市的组织架构信息，包括新增单位、删除单位、合并单位、修改单位名称、修改单位预算代码等组织架构调整工作的运维。</w:t>
      </w:r>
    </w:p>
    <w:p w14:paraId="0A1FA5F3">
      <w:pPr>
        <w:spacing w:line="440" w:lineRule="exact"/>
        <w:ind w:firstLine="480"/>
        <w:jc w:val="left"/>
        <w:rPr>
          <w:color w:val="auto"/>
          <w:sz w:val="24"/>
          <w:szCs w:val="24"/>
        </w:rPr>
      </w:pPr>
      <w:r>
        <w:rPr>
          <w:rFonts w:hint="eastAsia"/>
          <w:color w:val="auto"/>
          <w:sz w:val="24"/>
          <w:szCs w:val="24"/>
        </w:rPr>
        <w:t>4、协助单位进行单位人员管理功能的运维，包括协助单位导入人员信息，进行人员账号开户，设置资产管理员、审核人员、财务人员等。</w:t>
      </w:r>
    </w:p>
    <w:p w14:paraId="7B2E0070">
      <w:pPr>
        <w:spacing w:line="440" w:lineRule="exact"/>
        <w:ind w:firstLine="480"/>
        <w:jc w:val="left"/>
        <w:rPr>
          <w:color w:val="auto"/>
          <w:sz w:val="24"/>
          <w:szCs w:val="24"/>
        </w:rPr>
      </w:pPr>
      <w:r>
        <w:rPr>
          <w:rFonts w:hint="eastAsia"/>
          <w:color w:val="auto"/>
          <w:sz w:val="24"/>
          <w:szCs w:val="24"/>
        </w:rPr>
        <w:t>5、协助单位进行业务处室信息维护，包括新建部门、删除部门、修改部门名称、设置部门内人员归属等业务操作。</w:t>
      </w:r>
    </w:p>
    <w:p w14:paraId="2ED3CC7D">
      <w:pPr>
        <w:spacing w:line="440" w:lineRule="exact"/>
        <w:ind w:firstLine="480"/>
        <w:jc w:val="left"/>
        <w:rPr>
          <w:color w:val="auto"/>
          <w:sz w:val="24"/>
          <w:szCs w:val="24"/>
        </w:rPr>
      </w:pPr>
      <w:r>
        <w:rPr>
          <w:rFonts w:hint="eastAsia"/>
          <w:color w:val="auto"/>
          <w:sz w:val="24"/>
          <w:szCs w:val="24"/>
        </w:rPr>
        <w:t>6、协助单位进行资产卡片数据管理，包括导入卡片信息、确定卡片数据情况、指导卡片管理相关功能及操作，如卡片变更、卡片拆分、打印卡片单据等。解答单位在卡片管理使用过程中遇到的问题。</w:t>
      </w:r>
    </w:p>
    <w:p w14:paraId="0E589E5F">
      <w:pPr>
        <w:spacing w:line="440" w:lineRule="exact"/>
        <w:ind w:firstLine="480"/>
        <w:jc w:val="left"/>
        <w:rPr>
          <w:color w:val="auto"/>
          <w:sz w:val="24"/>
          <w:szCs w:val="24"/>
        </w:rPr>
      </w:pPr>
      <w:r>
        <w:rPr>
          <w:rFonts w:hint="eastAsia"/>
          <w:color w:val="auto"/>
          <w:sz w:val="24"/>
          <w:szCs w:val="24"/>
        </w:rPr>
        <w:t>7、协助财政进行处置流程运维，按财政要求设置和调整资产处置审批流程及审核人、审核权限。</w:t>
      </w:r>
    </w:p>
    <w:p w14:paraId="78C05682">
      <w:pPr>
        <w:spacing w:line="440" w:lineRule="exact"/>
        <w:ind w:firstLine="480"/>
        <w:jc w:val="left"/>
        <w:rPr>
          <w:color w:val="auto"/>
          <w:sz w:val="24"/>
          <w:szCs w:val="24"/>
        </w:rPr>
      </w:pPr>
      <w:r>
        <w:rPr>
          <w:rFonts w:hint="eastAsia"/>
          <w:color w:val="auto"/>
          <w:sz w:val="24"/>
          <w:szCs w:val="24"/>
        </w:rPr>
        <w:t>8、协助各级单位进行处置单信息运维，包括指导单位业务人员制单操作及流程、处置单审批等，解答单位在资产处置使用过程中遇到的问题。并按照财政要求设置处置单打印模板格式。</w:t>
      </w:r>
    </w:p>
    <w:p w14:paraId="05C3BBAE">
      <w:pPr>
        <w:spacing w:line="440" w:lineRule="exact"/>
        <w:ind w:firstLine="480"/>
        <w:jc w:val="left"/>
        <w:rPr>
          <w:color w:val="auto"/>
          <w:sz w:val="24"/>
          <w:szCs w:val="24"/>
        </w:rPr>
      </w:pPr>
      <w:r>
        <w:rPr>
          <w:rFonts w:hint="eastAsia"/>
          <w:color w:val="auto"/>
          <w:sz w:val="24"/>
          <w:szCs w:val="24"/>
        </w:rPr>
        <w:t>9、协助单位进行资产云财务管理功能业务，包括指导单位进行补提折旧、计提折旧、月结等业务操作，讲解资产台账数据逻辑、常见对账方法，解答单位在财务管理使用过程中遇到的问题。</w:t>
      </w:r>
    </w:p>
    <w:p w14:paraId="4103BED4">
      <w:pPr>
        <w:spacing w:line="440" w:lineRule="exact"/>
        <w:ind w:firstLine="480"/>
        <w:jc w:val="left"/>
        <w:rPr>
          <w:color w:val="auto"/>
          <w:sz w:val="24"/>
          <w:szCs w:val="24"/>
        </w:rPr>
      </w:pPr>
      <w:r>
        <w:rPr>
          <w:rFonts w:hint="eastAsia"/>
          <w:color w:val="auto"/>
          <w:sz w:val="24"/>
          <w:szCs w:val="24"/>
        </w:rPr>
        <w:t>10、处理各种特殊情况下单位使用过程中遇到的问题，如单位因错账需进行资产账反月结、反年结，批量调整卡片信息等各种非常规业务情况。</w:t>
      </w:r>
    </w:p>
    <w:p w14:paraId="47BCA2D5">
      <w:pPr>
        <w:spacing w:line="440" w:lineRule="exact"/>
        <w:ind w:firstLine="480"/>
        <w:jc w:val="left"/>
        <w:rPr>
          <w:color w:val="auto"/>
          <w:sz w:val="24"/>
          <w:szCs w:val="24"/>
        </w:rPr>
      </w:pPr>
      <w:r>
        <w:rPr>
          <w:rFonts w:hint="eastAsia"/>
          <w:color w:val="auto"/>
          <w:sz w:val="24"/>
          <w:szCs w:val="24"/>
        </w:rPr>
        <w:t>11、协助财政及预算单位进行做资产年报编报服务工作，解答财政及预算单位在资产年报编制过程中遇到的问题。</w:t>
      </w:r>
    </w:p>
    <w:p w14:paraId="2ABF9AB9">
      <w:pPr>
        <w:spacing w:line="440" w:lineRule="exact"/>
        <w:ind w:firstLine="480"/>
        <w:jc w:val="left"/>
        <w:rPr>
          <w:color w:val="auto"/>
          <w:sz w:val="24"/>
          <w:szCs w:val="24"/>
        </w:rPr>
      </w:pPr>
      <w:r>
        <w:rPr>
          <w:rFonts w:hint="eastAsia"/>
          <w:color w:val="auto"/>
          <w:sz w:val="24"/>
          <w:szCs w:val="24"/>
        </w:rPr>
        <w:t>12、通过报表工具，按财政或主管局要求，增加或修改各类资产业务统计查询分析表。</w:t>
      </w:r>
    </w:p>
    <w:p w14:paraId="139F80C7">
      <w:pPr>
        <w:pStyle w:val="274"/>
        <w:spacing w:line="440" w:lineRule="exact"/>
        <w:outlineLvl w:val="2"/>
        <w:rPr>
          <w:rFonts w:cs="宋体"/>
          <w:b/>
          <w:bCs/>
          <w:color w:val="auto"/>
          <w:sz w:val="24"/>
        </w:rPr>
      </w:pPr>
      <w:bookmarkStart w:id="106" w:name="_Toc8382"/>
      <w:bookmarkStart w:id="107" w:name="_Toc10726"/>
      <w:r>
        <w:rPr>
          <w:rFonts w:hint="eastAsia" w:cs="宋体"/>
          <w:b/>
          <w:bCs/>
          <w:color w:val="auto"/>
          <w:sz w:val="24"/>
        </w:rPr>
        <w:t>（三）本地业务系统运维服务</w:t>
      </w:r>
      <w:bookmarkEnd w:id="106"/>
    </w:p>
    <w:p w14:paraId="691C1667">
      <w:pPr>
        <w:spacing w:line="440" w:lineRule="exact"/>
        <w:ind w:firstLine="480"/>
        <w:jc w:val="left"/>
        <w:rPr>
          <w:rFonts w:cs="宋体"/>
          <w:b/>
          <w:bCs/>
          <w:color w:val="auto"/>
          <w:sz w:val="24"/>
          <w:szCs w:val="24"/>
        </w:rPr>
      </w:pPr>
      <w:r>
        <w:rPr>
          <w:rFonts w:hint="eastAsia" w:cs="宋体"/>
          <w:b/>
          <w:bCs/>
          <w:color w:val="auto"/>
          <w:sz w:val="24"/>
          <w:szCs w:val="24"/>
        </w:rPr>
        <w:t>1、常熟本地核算软件改造及运维</w:t>
      </w:r>
      <w:bookmarkEnd w:id="107"/>
    </w:p>
    <w:p w14:paraId="75944B86">
      <w:pPr>
        <w:spacing w:line="440" w:lineRule="exact"/>
        <w:ind w:firstLine="480"/>
        <w:jc w:val="left"/>
        <w:rPr>
          <w:bCs/>
          <w:color w:val="auto"/>
          <w:sz w:val="24"/>
          <w:szCs w:val="24"/>
        </w:rPr>
      </w:pPr>
      <w:r>
        <w:rPr>
          <w:rFonts w:hint="eastAsia"/>
          <w:bCs/>
          <w:color w:val="auto"/>
          <w:sz w:val="24"/>
          <w:szCs w:val="24"/>
        </w:rPr>
        <w:t>改造更新常熟地区财务核算平台，实现系统市级部署，市镇两级及开发区财政用户登录使用。功能包括但不限于：</w:t>
      </w:r>
    </w:p>
    <w:p w14:paraId="55225947">
      <w:pPr>
        <w:spacing w:line="440" w:lineRule="exact"/>
        <w:ind w:firstLine="602" w:firstLineChars="250"/>
        <w:jc w:val="left"/>
        <w:rPr>
          <w:b/>
          <w:bCs/>
          <w:color w:val="auto"/>
          <w:sz w:val="24"/>
          <w:szCs w:val="24"/>
        </w:rPr>
      </w:pPr>
      <w:r>
        <w:rPr>
          <w:rFonts w:hint="eastAsia"/>
          <w:b/>
          <w:bCs/>
          <w:color w:val="auto"/>
          <w:sz w:val="24"/>
          <w:szCs w:val="24"/>
        </w:rPr>
        <w:t>1.1、系统管理</w:t>
      </w:r>
    </w:p>
    <w:p w14:paraId="21C7CD8A">
      <w:pPr>
        <w:spacing w:line="440" w:lineRule="exact"/>
        <w:ind w:firstLine="600" w:firstLineChars="250"/>
        <w:jc w:val="left"/>
        <w:rPr>
          <w:color w:val="auto"/>
          <w:sz w:val="24"/>
          <w:szCs w:val="24"/>
        </w:rPr>
      </w:pPr>
      <w:r>
        <w:rPr>
          <w:rFonts w:hint="eastAsia"/>
          <w:color w:val="auto"/>
          <w:sz w:val="24"/>
          <w:szCs w:val="24"/>
        </w:rPr>
        <w:t>系统管理是对系统用户权限、账套权限、数据权限的授权及系统参数的统一设置，并按照管理级次，建立分层管理的组织机构模型。统一设置系统参数、基础要素设置等，完成系统运行初始化的管理。</w:t>
      </w:r>
    </w:p>
    <w:p w14:paraId="0924EB52">
      <w:pPr>
        <w:spacing w:line="440" w:lineRule="exact"/>
        <w:ind w:firstLine="600" w:firstLineChars="250"/>
        <w:jc w:val="left"/>
        <w:rPr>
          <w:color w:val="auto"/>
          <w:sz w:val="24"/>
          <w:szCs w:val="24"/>
        </w:rPr>
      </w:pPr>
      <w:r>
        <w:rPr>
          <w:rFonts w:hint="eastAsia"/>
          <w:color w:val="auto"/>
          <w:sz w:val="24"/>
          <w:szCs w:val="24"/>
        </w:rPr>
        <w:t>功能涵盖：组织机构维护、账套维护、角色维护、用户维护、用户账套授权、系统参数设置等。</w:t>
      </w:r>
    </w:p>
    <w:p w14:paraId="68646780">
      <w:pPr>
        <w:spacing w:line="440" w:lineRule="exact"/>
        <w:ind w:firstLine="602" w:firstLineChars="250"/>
        <w:jc w:val="left"/>
        <w:rPr>
          <w:b/>
          <w:bCs/>
          <w:color w:val="auto"/>
          <w:sz w:val="24"/>
          <w:szCs w:val="24"/>
        </w:rPr>
      </w:pPr>
      <w:r>
        <w:rPr>
          <w:rFonts w:hint="eastAsia"/>
          <w:b/>
          <w:bCs/>
          <w:color w:val="auto"/>
          <w:sz w:val="24"/>
          <w:szCs w:val="24"/>
        </w:rPr>
        <w:t>1.2、基础数据管理</w:t>
      </w:r>
    </w:p>
    <w:p w14:paraId="6EE39AF9">
      <w:pPr>
        <w:spacing w:line="440" w:lineRule="exact"/>
        <w:ind w:firstLine="600" w:firstLineChars="250"/>
        <w:jc w:val="left"/>
        <w:rPr>
          <w:color w:val="auto"/>
          <w:sz w:val="24"/>
          <w:szCs w:val="24"/>
        </w:rPr>
      </w:pPr>
      <w:r>
        <w:rPr>
          <w:rFonts w:hint="eastAsia"/>
          <w:color w:val="auto"/>
          <w:sz w:val="24"/>
          <w:szCs w:val="24"/>
        </w:rPr>
        <w:t>基础数据主要包括：会计科目、核算要素等。</w:t>
      </w:r>
    </w:p>
    <w:p w14:paraId="2CBD3DDE">
      <w:pPr>
        <w:spacing w:line="440" w:lineRule="exact"/>
        <w:ind w:firstLine="602" w:firstLineChars="250"/>
        <w:jc w:val="left"/>
        <w:rPr>
          <w:b/>
          <w:bCs/>
          <w:color w:val="auto"/>
          <w:sz w:val="24"/>
          <w:szCs w:val="24"/>
        </w:rPr>
      </w:pPr>
      <w:r>
        <w:rPr>
          <w:rFonts w:hint="eastAsia"/>
          <w:b/>
          <w:bCs/>
          <w:color w:val="auto"/>
          <w:sz w:val="24"/>
          <w:szCs w:val="24"/>
        </w:rPr>
        <w:t>1.3、账务处理</w:t>
      </w:r>
    </w:p>
    <w:p w14:paraId="72FB276A">
      <w:pPr>
        <w:spacing w:line="440" w:lineRule="exact"/>
        <w:ind w:firstLine="600" w:firstLineChars="250"/>
        <w:jc w:val="left"/>
        <w:rPr>
          <w:color w:val="auto"/>
          <w:sz w:val="24"/>
          <w:szCs w:val="24"/>
        </w:rPr>
      </w:pPr>
      <w:r>
        <w:rPr>
          <w:rFonts w:hint="eastAsia"/>
          <w:color w:val="auto"/>
          <w:sz w:val="24"/>
          <w:szCs w:val="24"/>
        </w:rPr>
        <w:t>账务处理是会计核算系统的核心模块，通过对会计科目和各辅助核算项的基础资料的管理，日常财务工作中的会计凭证的录入、审核、记账结账处理，账簿查询和打印，达到完整的财务核算的要求及基本的财务辅助控制目标，并实现各种财务报告的查询，满足单位基本财务管理的需要。</w:t>
      </w:r>
    </w:p>
    <w:p w14:paraId="28240F6F">
      <w:pPr>
        <w:spacing w:line="440" w:lineRule="exact"/>
        <w:ind w:firstLine="600" w:firstLineChars="250"/>
        <w:jc w:val="left"/>
        <w:rPr>
          <w:color w:val="auto"/>
          <w:sz w:val="24"/>
          <w:szCs w:val="24"/>
        </w:rPr>
      </w:pPr>
      <w:r>
        <w:rPr>
          <w:rFonts w:hint="eastAsia"/>
          <w:color w:val="auto"/>
          <w:sz w:val="24"/>
          <w:szCs w:val="24"/>
        </w:rPr>
        <w:t>功能主要包括：期初数录入、凭证类型设置、单据类型设置、凭证生成模板管理、凭证生成、凭证录入、凭证审核、凭证记账、凭证查询、凭证打印、自动转账模板设置、自动转账、月结、年结及结转余额等。</w:t>
      </w:r>
    </w:p>
    <w:p w14:paraId="0A70EDF8">
      <w:pPr>
        <w:spacing w:line="440" w:lineRule="exact"/>
        <w:ind w:firstLine="602" w:firstLineChars="250"/>
        <w:jc w:val="left"/>
        <w:rPr>
          <w:b/>
          <w:bCs/>
          <w:color w:val="auto"/>
          <w:sz w:val="24"/>
          <w:szCs w:val="24"/>
        </w:rPr>
      </w:pPr>
      <w:r>
        <w:rPr>
          <w:rFonts w:hint="eastAsia"/>
          <w:b/>
          <w:bCs/>
          <w:color w:val="auto"/>
          <w:sz w:val="24"/>
          <w:szCs w:val="24"/>
        </w:rPr>
        <w:t>1.4、账簿查询</w:t>
      </w:r>
    </w:p>
    <w:p w14:paraId="2965F200">
      <w:pPr>
        <w:spacing w:line="440" w:lineRule="exact"/>
        <w:ind w:firstLine="600" w:firstLineChars="250"/>
        <w:jc w:val="left"/>
        <w:rPr>
          <w:color w:val="auto"/>
          <w:sz w:val="24"/>
          <w:szCs w:val="24"/>
        </w:rPr>
      </w:pPr>
      <w:r>
        <w:rPr>
          <w:rFonts w:hint="eastAsia"/>
          <w:color w:val="auto"/>
          <w:sz w:val="24"/>
          <w:szCs w:val="24"/>
        </w:rPr>
        <w:t>可以随意选择查询组合及条件动态定义各种账簿。主要包括总账、明细账、余额表、交叉统计表等。支持按凭证是否记账的状态进行账务数据查询；支持“总账”、“余额表”、“交叉统计表”等账簿联查；支持账簿数据直接打印、账簿打印格式自定义调整、账簿数据导出等。</w:t>
      </w:r>
    </w:p>
    <w:p w14:paraId="4701B89A">
      <w:pPr>
        <w:spacing w:line="440" w:lineRule="exact"/>
        <w:ind w:firstLine="602" w:firstLineChars="250"/>
        <w:jc w:val="left"/>
        <w:rPr>
          <w:b/>
          <w:bCs/>
          <w:color w:val="auto"/>
          <w:sz w:val="24"/>
          <w:szCs w:val="24"/>
        </w:rPr>
      </w:pPr>
      <w:r>
        <w:rPr>
          <w:rFonts w:hint="eastAsia"/>
          <w:b/>
          <w:bCs/>
          <w:color w:val="auto"/>
          <w:sz w:val="24"/>
          <w:szCs w:val="24"/>
        </w:rPr>
        <w:t>1.5、报表管理</w:t>
      </w:r>
    </w:p>
    <w:p w14:paraId="2813B42E">
      <w:pPr>
        <w:spacing w:line="440" w:lineRule="exact"/>
        <w:ind w:firstLine="600" w:firstLineChars="250"/>
        <w:jc w:val="left"/>
        <w:rPr>
          <w:color w:val="auto"/>
          <w:sz w:val="24"/>
          <w:szCs w:val="24"/>
        </w:rPr>
      </w:pPr>
      <w:r>
        <w:rPr>
          <w:rFonts w:hint="eastAsia"/>
          <w:color w:val="auto"/>
          <w:sz w:val="24"/>
          <w:szCs w:val="24"/>
        </w:rPr>
        <w:t>报表管理提供灵活方便的用户报表自定义功能，用户可根据需要制定各种财务、业务报表，定义报表中的公式，自动生成需要的财务报表，报表编辑的界面，具有较强大的数据报送、汇总和分析功能。报表管理系统通过统一下发或用户自定义的格式进行取数，有效满足单位财务管理的要求。功能主要包括：报表定义、报表生成、报表查询、报表上报、报表汇总等。</w:t>
      </w:r>
    </w:p>
    <w:p w14:paraId="16F40016">
      <w:pPr>
        <w:spacing w:line="440" w:lineRule="exact"/>
        <w:ind w:firstLine="602" w:firstLineChars="250"/>
        <w:jc w:val="left"/>
        <w:rPr>
          <w:b/>
          <w:bCs/>
          <w:color w:val="auto"/>
          <w:sz w:val="24"/>
          <w:szCs w:val="24"/>
        </w:rPr>
      </w:pPr>
      <w:r>
        <w:rPr>
          <w:rFonts w:hint="eastAsia"/>
          <w:b/>
          <w:bCs/>
          <w:color w:val="auto"/>
          <w:sz w:val="24"/>
          <w:szCs w:val="24"/>
        </w:rPr>
        <w:t>1.6、接口平台</w:t>
      </w:r>
    </w:p>
    <w:p w14:paraId="29B40863">
      <w:pPr>
        <w:spacing w:line="440" w:lineRule="exact"/>
        <w:ind w:firstLine="600" w:firstLineChars="250"/>
        <w:jc w:val="left"/>
        <w:rPr>
          <w:color w:val="auto"/>
          <w:sz w:val="24"/>
          <w:szCs w:val="24"/>
        </w:rPr>
      </w:pPr>
      <w:r>
        <w:rPr>
          <w:rFonts w:hint="eastAsia"/>
          <w:color w:val="auto"/>
          <w:sz w:val="24"/>
          <w:szCs w:val="24"/>
        </w:rPr>
        <w:t>（1）财务数据审计系统接口</w:t>
      </w:r>
    </w:p>
    <w:p w14:paraId="7AB280DF">
      <w:pPr>
        <w:spacing w:line="440" w:lineRule="exact"/>
        <w:ind w:firstLine="600" w:firstLineChars="250"/>
        <w:jc w:val="left"/>
        <w:rPr>
          <w:color w:val="auto"/>
          <w:sz w:val="24"/>
          <w:szCs w:val="24"/>
        </w:rPr>
      </w:pPr>
      <w:r>
        <w:rPr>
          <w:rFonts w:hint="eastAsia"/>
          <w:color w:val="auto"/>
          <w:sz w:val="24"/>
          <w:szCs w:val="24"/>
        </w:rPr>
        <w:t>提供标准的数据接口，单位可以生成提供符合审计部门要求的相关数据。</w:t>
      </w:r>
    </w:p>
    <w:p w14:paraId="2D06F315">
      <w:pPr>
        <w:spacing w:line="440" w:lineRule="exact"/>
        <w:ind w:firstLine="600" w:firstLineChars="250"/>
        <w:jc w:val="left"/>
        <w:rPr>
          <w:color w:val="auto"/>
          <w:sz w:val="24"/>
          <w:szCs w:val="24"/>
        </w:rPr>
      </w:pPr>
      <w:r>
        <w:rPr>
          <w:rFonts w:hint="eastAsia"/>
          <w:color w:val="auto"/>
          <w:sz w:val="24"/>
          <w:szCs w:val="24"/>
        </w:rPr>
        <w:t>（2）常熟财政办公系统接口</w:t>
      </w:r>
    </w:p>
    <w:p w14:paraId="7EA84112">
      <w:pPr>
        <w:spacing w:line="440" w:lineRule="exact"/>
        <w:ind w:firstLine="600" w:firstLineChars="250"/>
        <w:jc w:val="left"/>
        <w:rPr>
          <w:color w:val="auto"/>
          <w:sz w:val="24"/>
          <w:szCs w:val="24"/>
        </w:rPr>
      </w:pPr>
      <w:r>
        <w:rPr>
          <w:rFonts w:hint="eastAsia"/>
          <w:color w:val="auto"/>
          <w:sz w:val="24"/>
          <w:szCs w:val="24"/>
        </w:rPr>
        <w:t>根据常熟财政办公系统单点登录接口需求，获取用户权限后登录会计核算系统。</w:t>
      </w:r>
    </w:p>
    <w:p w14:paraId="17D54494">
      <w:pPr>
        <w:spacing w:line="440" w:lineRule="exact"/>
        <w:ind w:firstLine="602" w:firstLineChars="250"/>
        <w:jc w:val="left"/>
        <w:rPr>
          <w:b/>
          <w:bCs/>
          <w:color w:val="auto"/>
          <w:sz w:val="24"/>
          <w:szCs w:val="24"/>
        </w:rPr>
      </w:pPr>
      <w:r>
        <w:rPr>
          <w:rFonts w:hint="eastAsia"/>
          <w:b/>
          <w:bCs/>
          <w:color w:val="auto"/>
          <w:sz w:val="24"/>
          <w:szCs w:val="24"/>
        </w:rPr>
        <w:t>1.7、市级收入登记及拨款功能</w:t>
      </w:r>
    </w:p>
    <w:p w14:paraId="6BB4B11D">
      <w:pPr>
        <w:pStyle w:val="2"/>
        <w:spacing w:line="440" w:lineRule="exact"/>
        <w:rPr>
          <w:rFonts w:ascii="Times New Roman"/>
          <w:color w:val="auto"/>
          <w:sz w:val="24"/>
          <w:szCs w:val="24"/>
        </w:rPr>
      </w:pPr>
      <w:r>
        <w:rPr>
          <w:rFonts w:hint="eastAsia" w:ascii="Times New Roman"/>
          <w:color w:val="auto"/>
          <w:sz w:val="24"/>
          <w:szCs w:val="24"/>
        </w:rPr>
        <w:t>在常熟市本级财政实现收入登记和拨款流程化管理功能。包括：</w:t>
      </w:r>
    </w:p>
    <w:p w14:paraId="0DFB8D17">
      <w:pPr>
        <w:spacing w:line="440" w:lineRule="exact"/>
        <w:ind w:firstLine="600" w:firstLineChars="250"/>
        <w:jc w:val="left"/>
        <w:rPr>
          <w:color w:val="auto"/>
          <w:sz w:val="24"/>
          <w:szCs w:val="24"/>
        </w:rPr>
      </w:pPr>
      <w:r>
        <w:rPr>
          <w:rFonts w:hint="eastAsia"/>
          <w:color w:val="auto"/>
          <w:sz w:val="24"/>
          <w:szCs w:val="24"/>
        </w:rPr>
        <w:t>（1）功能按要求对接财政办公系统用户及角色，通过虞政通扫码登录，办公系统快捷启动，进行统一管理。</w:t>
      </w:r>
    </w:p>
    <w:p w14:paraId="06606009">
      <w:pPr>
        <w:spacing w:line="440" w:lineRule="exact"/>
        <w:ind w:firstLine="600" w:firstLineChars="250"/>
        <w:jc w:val="left"/>
        <w:rPr>
          <w:color w:val="auto"/>
          <w:sz w:val="24"/>
          <w:szCs w:val="24"/>
        </w:rPr>
      </w:pPr>
      <w:r>
        <w:rPr>
          <w:rFonts w:hint="eastAsia"/>
          <w:color w:val="auto"/>
          <w:sz w:val="24"/>
          <w:szCs w:val="24"/>
        </w:rPr>
        <w:t>（2）收入登记功能是将收入进账单信息手工录入系统后，确认收入项目的业务过程。主要流程包括：财政办公系统统一登录，分别进行收入登记和确认，最终生成凭证。</w:t>
      </w:r>
    </w:p>
    <w:p w14:paraId="3A50E0FB">
      <w:pPr>
        <w:spacing w:line="440" w:lineRule="exact"/>
        <w:ind w:firstLine="600" w:firstLineChars="250"/>
        <w:jc w:val="left"/>
        <w:rPr>
          <w:color w:val="auto"/>
          <w:sz w:val="24"/>
          <w:szCs w:val="24"/>
        </w:rPr>
      </w:pPr>
      <w:r>
        <w:rPr>
          <w:rFonts w:hint="eastAsia"/>
          <w:color w:val="auto"/>
          <w:sz w:val="24"/>
          <w:szCs w:val="24"/>
        </w:rPr>
        <w:t>（3）拨款功能是请款经审批后，进行拨款支付的业务过程。主要流程包括：财政办公系统统一登录，分别进行拨款单录入、审核、打印拨款凭证和支付确认，最终生成凭证。</w:t>
      </w:r>
    </w:p>
    <w:p w14:paraId="4BD3E15D">
      <w:pPr>
        <w:spacing w:line="440" w:lineRule="exact"/>
        <w:ind w:firstLine="600" w:firstLineChars="250"/>
        <w:jc w:val="left"/>
        <w:rPr>
          <w:color w:val="auto"/>
          <w:sz w:val="24"/>
          <w:szCs w:val="24"/>
        </w:rPr>
      </w:pPr>
      <w:r>
        <w:rPr>
          <w:rFonts w:hint="eastAsia"/>
          <w:color w:val="auto"/>
          <w:sz w:val="24"/>
          <w:szCs w:val="24"/>
        </w:rPr>
        <w:t>（4）收入登记及拨款功能与常熟本地核算软件衔接，实现机制凭证生成。</w:t>
      </w:r>
    </w:p>
    <w:p w14:paraId="1A798102">
      <w:pPr>
        <w:spacing w:line="440" w:lineRule="exact"/>
        <w:ind w:firstLine="602" w:firstLineChars="250"/>
        <w:jc w:val="left"/>
        <w:rPr>
          <w:b/>
          <w:bCs/>
          <w:color w:val="auto"/>
          <w:sz w:val="24"/>
          <w:szCs w:val="24"/>
        </w:rPr>
      </w:pPr>
      <w:r>
        <w:rPr>
          <w:rFonts w:hint="eastAsia"/>
          <w:b/>
          <w:bCs/>
          <w:color w:val="auto"/>
          <w:sz w:val="24"/>
          <w:szCs w:val="24"/>
        </w:rPr>
        <w:t>1</w:t>
      </w:r>
      <w:r>
        <w:rPr>
          <w:b/>
          <w:bCs/>
          <w:color w:val="auto"/>
          <w:sz w:val="24"/>
          <w:szCs w:val="24"/>
        </w:rPr>
        <w:t>.8</w:t>
      </w:r>
      <w:r>
        <w:rPr>
          <w:rFonts w:hint="eastAsia"/>
          <w:b/>
          <w:bCs/>
          <w:color w:val="auto"/>
          <w:sz w:val="24"/>
          <w:szCs w:val="24"/>
        </w:rPr>
        <w:t>、原智慧财政信息平台运维及历史核算数据迁移</w:t>
      </w:r>
    </w:p>
    <w:p w14:paraId="4256E37F">
      <w:pPr>
        <w:pStyle w:val="2"/>
        <w:spacing w:line="440" w:lineRule="exact"/>
        <w:rPr>
          <w:rFonts w:ascii="Times New Roman"/>
          <w:color w:val="auto"/>
          <w:sz w:val="24"/>
          <w:szCs w:val="24"/>
        </w:rPr>
      </w:pPr>
      <w:r>
        <w:rPr>
          <w:rFonts w:hint="eastAsia" w:ascii="Times New Roman"/>
          <w:color w:val="auto"/>
          <w:sz w:val="24"/>
          <w:szCs w:val="24"/>
        </w:rPr>
        <w:t>按采购人要求，做好原常熟市智慧财政信息平台的运维，包括用户管理、权限分配等，保障历史数据查询功能，并将其中市本级产生的历史财政财务核算数据迁移到升级后的本地核算财务软件中。</w:t>
      </w:r>
    </w:p>
    <w:p w14:paraId="1A625AB4">
      <w:pPr>
        <w:spacing w:line="440" w:lineRule="exact"/>
        <w:ind w:firstLine="480"/>
        <w:jc w:val="left"/>
        <w:rPr>
          <w:rFonts w:cs="宋体"/>
          <w:b/>
          <w:bCs/>
          <w:color w:val="auto"/>
          <w:sz w:val="24"/>
          <w:szCs w:val="24"/>
        </w:rPr>
      </w:pPr>
      <w:bookmarkStart w:id="108" w:name="_Toc178172593"/>
      <w:r>
        <w:rPr>
          <w:rFonts w:hint="eastAsia" w:cs="宋体"/>
          <w:b/>
          <w:bCs/>
          <w:color w:val="auto"/>
          <w:sz w:val="24"/>
          <w:szCs w:val="24"/>
        </w:rPr>
        <w:t>2、审计等取数支持</w:t>
      </w:r>
      <w:bookmarkEnd w:id="108"/>
    </w:p>
    <w:p w14:paraId="4A3E5D84">
      <w:pPr>
        <w:spacing w:line="440" w:lineRule="exact"/>
        <w:ind w:firstLine="480" w:firstLineChars="200"/>
        <w:rPr>
          <w:color w:val="auto"/>
          <w:sz w:val="24"/>
          <w:szCs w:val="24"/>
        </w:rPr>
      </w:pPr>
      <w:r>
        <w:rPr>
          <w:rFonts w:hint="eastAsia"/>
          <w:color w:val="auto"/>
          <w:sz w:val="24"/>
          <w:szCs w:val="24"/>
        </w:rPr>
        <w:t>在一体化系统及原智慧财政信息平台中，提供审计等相关方要求的业务、账务数据</w:t>
      </w:r>
      <w:r>
        <w:rPr>
          <w:rFonts w:hint="eastAsia"/>
          <w:color w:val="auto"/>
          <w:sz w:val="24"/>
          <w:szCs w:val="24"/>
          <w:lang w:val="en-US" w:eastAsia="zh-CN"/>
        </w:rPr>
        <w:t>的</w:t>
      </w:r>
      <w:r>
        <w:rPr>
          <w:rFonts w:hint="eastAsia"/>
          <w:color w:val="auto"/>
          <w:sz w:val="24"/>
          <w:szCs w:val="24"/>
        </w:rPr>
        <w:t>抽取分析等服务支持。</w:t>
      </w:r>
    </w:p>
    <w:p w14:paraId="55967EA6">
      <w:pPr>
        <w:spacing w:line="440" w:lineRule="exact"/>
        <w:ind w:firstLine="480"/>
        <w:jc w:val="left"/>
        <w:rPr>
          <w:rFonts w:cs="宋体"/>
          <w:b/>
          <w:bCs/>
          <w:color w:val="auto"/>
          <w:sz w:val="24"/>
          <w:szCs w:val="24"/>
        </w:rPr>
      </w:pPr>
      <w:bookmarkStart w:id="109" w:name="_Toc178172594"/>
      <w:r>
        <w:rPr>
          <w:rFonts w:cs="宋体"/>
          <w:b/>
          <w:bCs/>
          <w:color w:val="auto"/>
          <w:sz w:val="24"/>
          <w:szCs w:val="24"/>
        </w:rPr>
        <w:t>3</w:t>
      </w:r>
      <w:r>
        <w:rPr>
          <w:rFonts w:hint="eastAsia" w:cs="宋体"/>
          <w:b/>
          <w:bCs/>
          <w:color w:val="auto"/>
          <w:sz w:val="24"/>
          <w:szCs w:val="24"/>
        </w:rPr>
        <w:t>、财政UKEY制作和服务</w:t>
      </w:r>
      <w:bookmarkEnd w:id="109"/>
    </w:p>
    <w:p w14:paraId="09857D26">
      <w:pPr>
        <w:spacing w:line="440" w:lineRule="exact"/>
        <w:ind w:firstLine="480" w:firstLineChars="200"/>
        <w:rPr>
          <w:color w:val="auto"/>
          <w:sz w:val="24"/>
          <w:szCs w:val="24"/>
        </w:rPr>
      </w:pPr>
      <w:r>
        <w:rPr>
          <w:rFonts w:hint="eastAsia"/>
          <w:color w:val="auto"/>
          <w:sz w:val="24"/>
          <w:szCs w:val="24"/>
        </w:rPr>
        <w:t>为市镇两级财政用户提供UKEY制作和服务工作，包括制作、更换、注销、解锁、使用培训等。</w:t>
      </w:r>
    </w:p>
    <w:bookmarkEnd w:id="100"/>
    <w:bookmarkEnd w:id="101"/>
    <w:p w14:paraId="611EE249">
      <w:pPr>
        <w:spacing w:line="440" w:lineRule="exact"/>
        <w:ind w:firstLine="281" w:firstLineChars="100"/>
        <w:outlineLvl w:val="1"/>
        <w:rPr>
          <w:b/>
          <w:bCs/>
          <w:color w:val="auto"/>
          <w:sz w:val="28"/>
          <w:szCs w:val="28"/>
        </w:rPr>
      </w:pPr>
      <w:bookmarkStart w:id="110" w:name="_Toc21790"/>
      <w:bookmarkStart w:id="111" w:name="_Toc8952"/>
      <w:bookmarkStart w:id="112" w:name="_Toc31797"/>
      <w:r>
        <w:rPr>
          <w:rFonts w:hint="eastAsia"/>
          <w:b/>
          <w:bCs/>
          <w:color w:val="auto"/>
          <w:sz w:val="28"/>
          <w:szCs w:val="28"/>
        </w:rPr>
        <w:t>三、其他要求：</w:t>
      </w:r>
      <w:bookmarkEnd w:id="110"/>
    </w:p>
    <w:p w14:paraId="78DBEF4C">
      <w:pPr>
        <w:spacing w:line="440" w:lineRule="exact"/>
        <w:ind w:firstLine="480"/>
        <w:jc w:val="left"/>
        <w:rPr>
          <w:b/>
          <w:bCs/>
          <w:color w:val="auto"/>
          <w:sz w:val="24"/>
          <w:szCs w:val="24"/>
        </w:rPr>
      </w:pPr>
      <w:r>
        <w:rPr>
          <w:rFonts w:hint="eastAsia"/>
          <w:b/>
          <w:bCs/>
          <w:color w:val="auto"/>
          <w:sz w:val="24"/>
          <w:szCs w:val="24"/>
        </w:rPr>
        <w:t>1、运维服务对象</w:t>
      </w:r>
    </w:p>
    <w:p w14:paraId="28781C37">
      <w:pPr>
        <w:spacing w:line="440" w:lineRule="exact"/>
        <w:ind w:firstLine="480" w:firstLineChars="200"/>
        <w:jc w:val="left"/>
        <w:rPr>
          <w:color w:val="auto"/>
          <w:sz w:val="24"/>
          <w:szCs w:val="24"/>
        </w:rPr>
      </w:pPr>
      <w:r>
        <w:rPr>
          <w:rFonts w:hint="eastAsia"/>
          <w:color w:val="auto"/>
          <w:sz w:val="24"/>
          <w:szCs w:val="24"/>
        </w:rPr>
        <w:t>服务对象包括常熟市本级、各镇板块、各街道及高新技术产业开发区、经济技术开发区财政用户、预算单位用户等。</w:t>
      </w:r>
    </w:p>
    <w:p w14:paraId="22DF2926">
      <w:pPr>
        <w:spacing w:line="440" w:lineRule="exact"/>
        <w:ind w:firstLine="480"/>
        <w:jc w:val="left"/>
        <w:rPr>
          <w:b/>
          <w:bCs/>
          <w:color w:val="auto"/>
          <w:sz w:val="24"/>
          <w:szCs w:val="24"/>
        </w:rPr>
      </w:pPr>
      <w:r>
        <w:rPr>
          <w:rFonts w:hint="eastAsia"/>
          <w:b/>
          <w:bCs/>
          <w:color w:val="auto"/>
          <w:sz w:val="24"/>
          <w:szCs w:val="24"/>
        </w:rPr>
        <w:t>2、运维服务范围</w:t>
      </w:r>
    </w:p>
    <w:p w14:paraId="663A4F00">
      <w:pPr>
        <w:spacing w:line="440" w:lineRule="exact"/>
        <w:ind w:firstLine="480" w:firstLineChars="200"/>
        <w:jc w:val="left"/>
        <w:rPr>
          <w:color w:val="auto"/>
          <w:sz w:val="24"/>
          <w:szCs w:val="24"/>
        </w:rPr>
      </w:pPr>
      <w:r>
        <w:rPr>
          <w:rFonts w:hint="eastAsia"/>
          <w:color w:val="auto"/>
          <w:sz w:val="24"/>
          <w:szCs w:val="24"/>
        </w:rPr>
        <w:t>本项目服务范围包括：常熟市本级一体化系统2026年度运维服务和市辖各乡镇、各街道及高新技术产业开发区、经济技术开发区的一体化系统2026年度实施及运维服务。</w:t>
      </w:r>
    </w:p>
    <w:p w14:paraId="65F595AE">
      <w:pPr>
        <w:pStyle w:val="2"/>
        <w:spacing w:line="440" w:lineRule="exact"/>
        <w:rPr>
          <w:rFonts w:ascii="Times New Roman"/>
          <w:color w:val="auto"/>
          <w:sz w:val="24"/>
          <w:szCs w:val="24"/>
        </w:rPr>
      </w:pPr>
      <w:r>
        <w:rPr>
          <w:rFonts w:hint="eastAsia" w:ascii="Times New Roman"/>
          <w:bCs/>
          <w:color w:val="auto"/>
          <w:sz w:val="24"/>
          <w:szCs w:val="24"/>
        </w:rPr>
        <w:t>系统核心功能涵盖</w:t>
      </w:r>
      <w:r>
        <w:rPr>
          <w:rFonts w:hint="eastAsia" w:ascii="Times New Roman"/>
          <w:color w:val="auto"/>
          <w:sz w:val="24"/>
          <w:szCs w:val="24"/>
        </w:rPr>
        <w:t>基础信息管理、用户管理、预算编制、项目管理、绩效管理、预算调整调剂、结余结转管理、账户管理、非税核收、预算执行、资金动态监控、工资发放、集中支付、政府采购、财政财务核算、单位会计核算、预决算批复及公开、报表查询分析等。</w:t>
      </w:r>
    </w:p>
    <w:p w14:paraId="197C1685">
      <w:pPr>
        <w:spacing w:line="440" w:lineRule="exact"/>
        <w:ind w:firstLine="480"/>
        <w:jc w:val="left"/>
        <w:rPr>
          <w:b/>
          <w:bCs/>
          <w:color w:val="auto"/>
          <w:sz w:val="24"/>
          <w:szCs w:val="24"/>
        </w:rPr>
      </w:pPr>
      <w:r>
        <w:rPr>
          <w:rFonts w:hint="eastAsia"/>
          <w:b/>
          <w:bCs/>
          <w:color w:val="auto"/>
          <w:sz w:val="24"/>
          <w:szCs w:val="24"/>
        </w:rPr>
        <w:t>3、运维服务及业务衔接</w:t>
      </w:r>
    </w:p>
    <w:p w14:paraId="4878ABC8">
      <w:pPr>
        <w:pStyle w:val="2"/>
        <w:spacing w:line="440" w:lineRule="exact"/>
        <w:rPr>
          <w:rFonts w:ascii="Times New Roman"/>
          <w:bCs/>
          <w:color w:val="auto"/>
          <w:sz w:val="24"/>
          <w:szCs w:val="24"/>
        </w:rPr>
      </w:pPr>
      <w:r>
        <w:rPr>
          <w:rFonts w:hint="eastAsia" w:ascii="Times New Roman"/>
          <w:color w:val="auto"/>
          <w:sz w:val="24"/>
          <w:szCs w:val="24"/>
        </w:rPr>
        <w:t>本项目服务应</w:t>
      </w:r>
      <w:r>
        <w:rPr>
          <w:rFonts w:hint="eastAsia" w:ascii="Times New Roman"/>
          <w:bCs/>
          <w:color w:val="auto"/>
          <w:sz w:val="24"/>
          <w:szCs w:val="24"/>
        </w:rPr>
        <w:t>做好与以前年度及以后年度运维的高效衔接，保证财政业务连续性。</w:t>
      </w:r>
    </w:p>
    <w:p w14:paraId="5862EBBA">
      <w:pPr>
        <w:pStyle w:val="2"/>
        <w:spacing w:line="440" w:lineRule="exact"/>
        <w:rPr>
          <w:rFonts w:ascii="Times New Roman"/>
          <w:bCs/>
          <w:color w:val="auto"/>
          <w:sz w:val="24"/>
          <w:szCs w:val="24"/>
        </w:rPr>
      </w:pPr>
      <w:r>
        <w:rPr>
          <w:rFonts w:hint="eastAsia" w:ascii="Times New Roman"/>
          <w:color w:val="auto"/>
          <w:sz w:val="24"/>
          <w:szCs w:val="24"/>
        </w:rPr>
        <w:t>本项目服务应做好与其他模块的衔接，确保财政业务高效运转。省平台其它模块包括电子凭证库、债务管理、惠民补贴一卡通、苏采云、社保基金管理、决算系统、政府财报等；本地系统包括常熟市财政非税收入收缴管理系统、数据回流平台、本地财政办公系统等。</w:t>
      </w:r>
    </w:p>
    <w:p w14:paraId="65FA10C4">
      <w:pPr>
        <w:spacing w:line="440" w:lineRule="exact"/>
        <w:ind w:firstLine="480"/>
        <w:jc w:val="left"/>
        <w:rPr>
          <w:b/>
          <w:bCs/>
          <w:color w:val="auto"/>
          <w:sz w:val="24"/>
          <w:szCs w:val="24"/>
        </w:rPr>
      </w:pPr>
      <w:r>
        <w:rPr>
          <w:rFonts w:hint="eastAsia"/>
          <w:b/>
          <w:bCs/>
          <w:color w:val="auto"/>
          <w:sz w:val="24"/>
          <w:szCs w:val="24"/>
        </w:rPr>
        <w:t>4、运维服务要求</w:t>
      </w:r>
    </w:p>
    <w:p w14:paraId="45621302">
      <w:pPr>
        <w:spacing w:line="440" w:lineRule="exact"/>
        <w:ind w:firstLine="602" w:firstLineChars="250"/>
        <w:jc w:val="left"/>
        <w:rPr>
          <w:b/>
          <w:bCs/>
          <w:color w:val="auto"/>
          <w:sz w:val="24"/>
          <w:szCs w:val="24"/>
        </w:rPr>
      </w:pPr>
      <w:r>
        <w:rPr>
          <w:rFonts w:hint="eastAsia"/>
          <w:b/>
          <w:bCs/>
          <w:color w:val="auto"/>
          <w:sz w:val="24"/>
          <w:szCs w:val="24"/>
        </w:rPr>
        <w:t>4.1、实施服务工作要求</w:t>
      </w:r>
    </w:p>
    <w:p w14:paraId="5E800B77">
      <w:pPr>
        <w:spacing w:line="440" w:lineRule="exact"/>
        <w:ind w:firstLine="600" w:firstLineChars="250"/>
        <w:jc w:val="left"/>
        <w:rPr>
          <w:color w:val="auto"/>
          <w:sz w:val="24"/>
          <w:szCs w:val="24"/>
        </w:rPr>
      </w:pPr>
      <w:r>
        <w:rPr>
          <w:rFonts w:hint="eastAsia"/>
          <w:color w:val="auto"/>
          <w:sz w:val="24"/>
          <w:szCs w:val="24"/>
        </w:rPr>
        <w:t>实施服务要充分考虑容错、应急、负载等要求，依托运维服务平台，结合严谨的测试管理，以保证系统的高可用性。实施服务模式包括现场支持、电话咨询等。</w:t>
      </w:r>
    </w:p>
    <w:p w14:paraId="7144C8F7">
      <w:pPr>
        <w:spacing w:line="440" w:lineRule="exact"/>
        <w:ind w:firstLine="600" w:firstLineChars="250"/>
        <w:jc w:val="left"/>
        <w:rPr>
          <w:color w:val="auto"/>
          <w:sz w:val="24"/>
          <w:szCs w:val="24"/>
        </w:rPr>
      </w:pPr>
      <w:r>
        <w:rPr>
          <w:rFonts w:hint="eastAsia"/>
          <w:color w:val="auto"/>
          <w:sz w:val="24"/>
          <w:szCs w:val="24"/>
        </w:rPr>
        <w:t>现场服务：供应商负责提供服务支持小组7×12小时现场服务。服务工作包括软件使用咨询、软件异常情况处理、数据异常维护、系统缺陷修复、系统迁移、重新安装等服务。并根据采购人需要，派技术服务人员到现场服务。包括软件使用咨询、软件异常情况处理、软件数据异常的维护等。现场指导采购人完成系统操作，对系统的功能操作或采购人提出的其他系统问题进行现场讲解，对采购人进行系统操作培训等。</w:t>
      </w:r>
    </w:p>
    <w:p w14:paraId="76DEABC8">
      <w:pPr>
        <w:spacing w:line="440" w:lineRule="exact"/>
        <w:ind w:firstLine="600" w:firstLineChars="250"/>
        <w:jc w:val="left"/>
        <w:rPr>
          <w:color w:val="auto"/>
          <w:sz w:val="24"/>
          <w:szCs w:val="24"/>
        </w:rPr>
      </w:pPr>
      <w:r>
        <w:rPr>
          <w:rFonts w:hint="eastAsia"/>
          <w:color w:val="auto"/>
          <w:sz w:val="24"/>
          <w:szCs w:val="24"/>
        </w:rPr>
        <w:t>电话服务标准：供应商应提供7×24小时热线电话服务，以便在日常技术支持服务中随时接收财政用户、预算单位用户的问题及反馈，供应商相关服务团队应详细记录相关问题并作出解答，同时应及时更新对应的运维知识库，做好问题跟踪记录。工作日内需实时响应用户电话，非工作日内需在30分钟内回复用户电话。</w:t>
      </w:r>
    </w:p>
    <w:p w14:paraId="577101D4">
      <w:pPr>
        <w:spacing w:line="440" w:lineRule="exact"/>
        <w:ind w:firstLine="600" w:firstLineChars="250"/>
        <w:jc w:val="left"/>
        <w:rPr>
          <w:color w:val="auto"/>
          <w:sz w:val="24"/>
          <w:szCs w:val="24"/>
        </w:rPr>
      </w:pPr>
      <w:r>
        <w:rPr>
          <w:rFonts w:hint="eastAsia"/>
          <w:color w:val="auto"/>
          <w:sz w:val="24"/>
          <w:szCs w:val="24"/>
        </w:rPr>
        <w:t>故障响应标准：积极与软件开发、运维团队沟通协调，对一般故障，在半小时内响应并在2小时内解决；重大故障在24小时内解决。</w:t>
      </w:r>
    </w:p>
    <w:p w14:paraId="25600AB1">
      <w:pPr>
        <w:spacing w:line="440" w:lineRule="exact"/>
        <w:ind w:firstLine="600" w:firstLineChars="250"/>
        <w:jc w:val="left"/>
        <w:rPr>
          <w:color w:val="auto"/>
          <w:sz w:val="24"/>
          <w:szCs w:val="24"/>
        </w:rPr>
      </w:pPr>
      <w:r>
        <w:rPr>
          <w:rFonts w:hint="eastAsia"/>
          <w:color w:val="auto"/>
          <w:sz w:val="24"/>
          <w:szCs w:val="24"/>
        </w:rPr>
        <w:t>服务人员要求：为保障运维服务质量，需提供充足的人力资源，组建至少5人的服务团队，其中至少4人进行驻场运维服务。并设计人力资源保障解决方案，要求服务人员配备充足、分工合理、计划科学。驻场服务人员在采购人的统一领导下开展运维服务工作。</w:t>
      </w:r>
    </w:p>
    <w:p w14:paraId="7086F89F">
      <w:pPr>
        <w:spacing w:line="440" w:lineRule="exact"/>
        <w:ind w:firstLine="600" w:firstLineChars="250"/>
        <w:jc w:val="left"/>
        <w:rPr>
          <w:color w:val="auto"/>
          <w:sz w:val="24"/>
          <w:szCs w:val="24"/>
        </w:rPr>
      </w:pPr>
      <w:r>
        <w:rPr>
          <w:rFonts w:hint="eastAsia"/>
          <w:color w:val="auto"/>
          <w:sz w:val="24"/>
          <w:szCs w:val="24"/>
        </w:rPr>
        <w:t>服务人员能力要求：参与本地维护的技术人员必须具有承担过财政一体化系统的业务经验，能够与采购人进行良好沟通，具备相关产品维护能力。</w:t>
      </w:r>
    </w:p>
    <w:p w14:paraId="04FCE12E">
      <w:pPr>
        <w:spacing w:line="440" w:lineRule="exact"/>
        <w:ind w:firstLine="600" w:firstLineChars="250"/>
        <w:jc w:val="left"/>
        <w:rPr>
          <w:color w:val="auto"/>
          <w:sz w:val="24"/>
          <w:szCs w:val="24"/>
        </w:rPr>
      </w:pPr>
      <w:r>
        <w:rPr>
          <w:rFonts w:hint="eastAsia"/>
          <w:color w:val="auto"/>
          <w:sz w:val="24"/>
          <w:szCs w:val="24"/>
        </w:rPr>
        <w:t>培训：为持续提升运维服务人员服务管理水平及业务技能，供应商应遵照采购人的培训计划及要求，按时参加由采购人指定的系统相关的信息技术及项目管理的培训，相关费用包含在报价总价内。</w:t>
      </w:r>
    </w:p>
    <w:p w14:paraId="74574719">
      <w:pPr>
        <w:spacing w:line="440" w:lineRule="exact"/>
        <w:ind w:firstLine="600" w:firstLineChars="250"/>
        <w:jc w:val="left"/>
        <w:rPr>
          <w:color w:val="auto"/>
          <w:sz w:val="24"/>
          <w:szCs w:val="24"/>
        </w:rPr>
      </w:pPr>
      <w:r>
        <w:rPr>
          <w:rFonts w:hint="eastAsia"/>
          <w:color w:val="auto"/>
          <w:sz w:val="24"/>
          <w:szCs w:val="24"/>
        </w:rPr>
        <w:t>人员变更：供应商保证项目经理和驻场服务人员的稳定，不得擅自更换项目经理及驻场服务人员，擅自变更的应承担相应责任。如确实因特殊原因需更换项目经理及驻场服务人员，供应商应提前三个月报采购人确认（采购人要求的除外）。</w:t>
      </w:r>
    </w:p>
    <w:p w14:paraId="534F7C6C">
      <w:pPr>
        <w:spacing w:line="440" w:lineRule="exact"/>
        <w:ind w:firstLine="602" w:firstLineChars="250"/>
        <w:jc w:val="left"/>
        <w:rPr>
          <w:b/>
          <w:bCs/>
          <w:color w:val="auto"/>
          <w:sz w:val="24"/>
          <w:szCs w:val="24"/>
        </w:rPr>
      </w:pPr>
      <w:r>
        <w:rPr>
          <w:rFonts w:hint="eastAsia"/>
          <w:b/>
          <w:bCs/>
          <w:color w:val="auto"/>
          <w:sz w:val="24"/>
          <w:szCs w:val="24"/>
        </w:rPr>
        <w:t>4.2、安全保障及保密要求</w:t>
      </w:r>
    </w:p>
    <w:p w14:paraId="35757D5C">
      <w:pPr>
        <w:spacing w:line="440" w:lineRule="exact"/>
        <w:ind w:firstLine="600" w:firstLineChars="250"/>
        <w:jc w:val="left"/>
        <w:rPr>
          <w:rFonts w:hint="eastAsia" w:eastAsia="宋体"/>
          <w:color w:val="auto"/>
          <w:sz w:val="24"/>
          <w:szCs w:val="24"/>
          <w:lang w:eastAsia="zh-CN"/>
        </w:rPr>
      </w:pPr>
      <w:r>
        <w:rPr>
          <w:rFonts w:hint="eastAsia"/>
          <w:color w:val="auto"/>
          <w:sz w:val="24"/>
          <w:szCs w:val="24"/>
        </w:rPr>
        <w:t>根据采购人要求，做好网络及信息系统安全相关工作，包括但不限于</w:t>
      </w:r>
      <w:r>
        <w:rPr>
          <w:rFonts w:hint="eastAsia"/>
          <w:color w:val="auto"/>
          <w:sz w:val="24"/>
          <w:szCs w:val="24"/>
          <w:lang w:eastAsia="zh-CN"/>
        </w:rPr>
        <w:t>：</w:t>
      </w:r>
    </w:p>
    <w:p w14:paraId="2B651C45">
      <w:pPr>
        <w:spacing w:line="440" w:lineRule="exact"/>
        <w:ind w:firstLine="600" w:firstLineChars="250"/>
        <w:jc w:val="left"/>
        <w:rPr>
          <w:color w:val="auto"/>
          <w:sz w:val="24"/>
          <w:szCs w:val="24"/>
        </w:rPr>
      </w:pPr>
      <w:r>
        <w:rPr>
          <w:rFonts w:hint="eastAsia"/>
          <w:color w:val="auto"/>
          <w:sz w:val="24"/>
          <w:szCs w:val="24"/>
        </w:rPr>
        <w:t>安全运维管理要求：供应商必须规范日常的安全操作，符合财政部总体安全策略，通过实施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p>
    <w:p w14:paraId="60FA3F28">
      <w:pPr>
        <w:spacing w:line="440" w:lineRule="exact"/>
        <w:ind w:firstLine="600" w:firstLineChars="250"/>
        <w:jc w:val="left"/>
        <w:rPr>
          <w:color w:val="auto"/>
          <w:sz w:val="24"/>
          <w:szCs w:val="24"/>
        </w:rPr>
      </w:pPr>
      <w:r>
        <w:rPr>
          <w:rFonts w:hint="eastAsia"/>
          <w:color w:val="auto"/>
          <w:sz w:val="24"/>
          <w:szCs w:val="24"/>
        </w:rPr>
        <w:t>技术安全防护要求：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相关责任由供应商承担。</w:t>
      </w:r>
    </w:p>
    <w:p w14:paraId="7B55D54B">
      <w:pPr>
        <w:spacing w:line="440" w:lineRule="exact"/>
        <w:ind w:firstLine="600" w:firstLineChars="250"/>
        <w:jc w:val="left"/>
        <w:rPr>
          <w:color w:val="auto"/>
          <w:sz w:val="24"/>
          <w:szCs w:val="24"/>
        </w:rPr>
      </w:pPr>
      <w:r>
        <w:rPr>
          <w:rFonts w:hint="eastAsia"/>
          <w:color w:val="auto"/>
          <w:sz w:val="24"/>
          <w:szCs w:val="24"/>
        </w:rPr>
        <w:t>信息保密要求：供应商承诺对采购人提供的内部资料、数据和信息予以保密。未经采购人书面许可，不许以任何形式向第三方透露。成交供应商应与驻场运维服务人员签订保密协议，督促运维服务人员严格遵守保密规定。</w:t>
      </w:r>
    </w:p>
    <w:p w14:paraId="26E49070">
      <w:pPr>
        <w:spacing w:line="440" w:lineRule="exact"/>
        <w:ind w:firstLine="602" w:firstLineChars="250"/>
        <w:jc w:val="left"/>
        <w:rPr>
          <w:b/>
          <w:bCs/>
          <w:color w:val="auto"/>
          <w:sz w:val="24"/>
          <w:szCs w:val="24"/>
        </w:rPr>
      </w:pPr>
      <w:r>
        <w:rPr>
          <w:rFonts w:hint="eastAsia"/>
          <w:b/>
          <w:bCs/>
          <w:color w:val="auto"/>
          <w:sz w:val="24"/>
          <w:szCs w:val="24"/>
        </w:rPr>
        <w:t>4.3、项目管理要求</w:t>
      </w:r>
    </w:p>
    <w:p w14:paraId="2985EBA3">
      <w:pPr>
        <w:spacing w:line="440" w:lineRule="exact"/>
        <w:ind w:firstLine="600" w:firstLineChars="250"/>
        <w:jc w:val="left"/>
        <w:rPr>
          <w:color w:val="auto"/>
          <w:sz w:val="24"/>
          <w:szCs w:val="24"/>
        </w:rPr>
      </w:pPr>
      <w:r>
        <w:rPr>
          <w:rFonts w:hint="eastAsia"/>
          <w:color w:val="auto"/>
          <w:sz w:val="24"/>
          <w:szCs w:val="24"/>
        </w:rPr>
        <w:t>供应商必须成立合理的维护团队，建立健全保障项目维护的各项管理制度和质量保证体系。</w:t>
      </w:r>
    </w:p>
    <w:p w14:paraId="11AD829E">
      <w:pPr>
        <w:spacing w:line="440" w:lineRule="exact"/>
        <w:ind w:firstLine="600" w:firstLineChars="250"/>
        <w:jc w:val="left"/>
        <w:rPr>
          <w:color w:val="auto"/>
          <w:sz w:val="24"/>
          <w:szCs w:val="24"/>
        </w:rPr>
      </w:pPr>
      <w:r>
        <w:rPr>
          <w:rFonts w:hint="eastAsia"/>
          <w:color w:val="auto"/>
          <w:sz w:val="24"/>
          <w:szCs w:val="24"/>
        </w:rPr>
        <w:t>供应商必须指定专职于本地维护的人员，配置相应的项目维护、系统分析、开发、测试、集成、培训、质量保证等人员，保证有足够的高素质人员参加本地维护。</w:t>
      </w:r>
    </w:p>
    <w:p w14:paraId="487895EE">
      <w:pPr>
        <w:spacing w:line="440" w:lineRule="exact"/>
        <w:ind w:firstLine="600" w:firstLineChars="250"/>
        <w:jc w:val="left"/>
        <w:rPr>
          <w:color w:val="auto"/>
          <w:sz w:val="24"/>
          <w:szCs w:val="24"/>
        </w:rPr>
      </w:pPr>
      <w:r>
        <w:rPr>
          <w:rFonts w:hint="eastAsia"/>
          <w:color w:val="auto"/>
          <w:sz w:val="24"/>
          <w:szCs w:val="24"/>
        </w:rPr>
        <w:t>供应商应对上述内容列出详细人员计划，包括人员姓名、学历和在维护中的职责分工等。</w:t>
      </w:r>
    </w:p>
    <w:p w14:paraId="551C9D95">
      <w:pPr>
        <w:spacing w:line="440" w:lineRule="exact"/>
        <w:ind w:firstLine="600" w:firstLineChars="250"/>
        <w:jc w:val="left"/>
        <w:rPr>
          <w:color w:val="auto"/>
          <w:sz w:val="24"/>
          <w:szCs w:val="24"/>
        </w:rPr>
      </w:pPr>
      <w:r>
        <w:rPr>
          <w:rFonts w:hint="eastAsia"/>
          <w:color w:val="auto"/>
          <w:sz w:val="24"/>
          <w:szCs w:val="24"/>
        </w:rPr>
        <w:t>供应商应根据维护的具体内容和要求，向采购人提交切实可行的运维服务方案。</w:t>
      </w:r>
    </w:p>
    <w:p w14:paraId="45D639F7">
      <w:pPr>
        <w:spacing w:line="440" w:lineRule="exact"/>
        <w:ind w:firstLine="602" w:firstLineChars="250"/>
        <w:jc w:val="left"/>
        <w:rPr>
          <w:b/>
          <w:bCs/>
          <w:i/>
          <w:iCs/>
          <w:color w:val="auto"/>
          <w:sz w:val="24"/>
          <w:szCs w:val="24"/>
          <w:u w:val="single"/>
        </w:rPr>
      </w:pPr>
      <w:r>
        <w:rPr>
          <w:rFonts w:hint="eastAsia"/>
          <w:b/>
          <w:bCs/>
          <w:i/>
          <w:iCs/>
          <w:color w:val="auto"/>
          <w:sz w:val="24"/>
          <w:szCs w:val="24"/>
          <w:u w:val="single"/>
        </w:rPr>
        <w:t>4.4、其他要求</w:t>
      </w:r>
    </w:p>
    <w:p w14:paraId="467A9498">
      <w:pPr>
        <w:spacing w:line="440" w:lineRule="exact"/>
        <w:ind w:firstLine="480"/>
        <w:jc w:val="left"/>
        <w:rPr>
          <w:i/>
          <w:iCs/>
          <w:color w:val="auto"/>
          <w:sz w:val="24"/>
          <w:szCs w:val="24"/>
          <w:u w:val="single"/>
        </w:rPr>
      </w:pPr>
      <w:r>
        <w:rPr>
          <w:rFonts w:hint="eastAsia"/>
          <w:i/>
          <w:iCs/>
          <w:color w:val="auto"/>
          <w:sz w:val="24"/>
          <w:szCs w:val="24"/>
          <w:u w:val="single"/>
        </w:rPr>
        <w:t>供应商获得成交后，响应文件中的拟投入人员即实际履约服务的人员，未经采购人允许，不得随意更换。擅自变更的应承担相应责任。如确实因特殊原因需更换项目经理及驻场服务人员的，供应商应提前三个月报采购人确认（采购人要求的除外），供应商须保证服务人员的资历不低于响应文件中拟投入的人员资历。</w:t>
      </w:r>
    </w:p>
    <w:p w14:paraId="67A35938">
      <w:pPr>
        <w:widowControl/>
        <w:jc w:val="left"/>
        <w:rPr>
          <w:b/>
          <w:bCs/>
          <w:color w:val="auto"/>
          <w:sz w:val="24"/>
          <w:szCs w:val="24"/>
        </w:rPr>
      </w:pPr>
    </w:p>
    <w:p w14:paraId="00A2968F">
      <w:pPr>
        <w:spacing w:line="440" w:lineRule="exact"/>
        <w:outlineLvl w:val="1"/>
        <w:rPr>
          <w:b/>
          <w:bCs/>
          <w:color w:val="auto"/>
          <w:sz w:val="28"/>
          <w:szCs w:val="28"/>
        </w:rPr>
      </w:pPr>
      <w:bookmarkStart w:id="113" w:name="_Toc2816"/>
      <w:r>
        <w:rPr>
          <w:rFonts w:hint="eastAsia"/>
          <w:b/>
          <w:bCs/>
          <w:color w:val="auto"/>
          <w:sz w:val="28"/>
          <w:szCs w:val="28"/>
        </w:rPr>
        <w:t>四、验收：</w:t>
      </w:r>
      <w:bookmarkEnd w:id="113"/>
    </w:p>
    <w:p w14:paraId="78769DEC">
      <w:pPr>
        <w:spacing w:line="440" w:lineRule="exact"/>
        <w:ind w:firstLine="480"/>
        <w:jc w:val="left"/>
        <w:rPr>
          <w:color w:val="auto"/>
          <w:sz w:val="24"/>
          <w:szCs w:val="24"/>
        </w:rPr>
      </w:pPr>
      <w:r>
        <w:rPr>
          <w:rFonts w:hint="eastAsia"/>
          <w:color w:val="auto"/>
          <w:sz w:val="24"/>
          <w:szCs w:val="24"/>
        </w:rPr>
        <w:t>1、验收时间：服务期满6个月内，根据采购人要求，进行项目验收。</w:t>
      </w:r>
    </w:p>
    <w:p w14:paraId="79956CDB">
      <w:pPr>
        <w:spacing w:line="440" w:lineRule="exact"/>
        <w:ind w:firstLine="480"/>
        <w:jc w:val="left"/>
        <w:rPr>
          <w:color w:val="auto"/>
          <w:sz w:val="24"/>
          <w:szCs w:val="24"/>
        </w:rPr>
      </w:pPr>
      <w:r>
        <w:rPr>
          <w:rFonts w:hint="eastAsia"/>
          <w:color w:val="auto"/>
          <w:sz w:val="24"/>
          <w:szCs w:val="24"/>
        </w:rPr>
        <w:t>2、验收方式及内容：采购人组织验收人员或邀请第三方专业机构对项目进行验收，根据磋商文件内容对所提供服务质量及项目实施要求进行验收。</w:t>
      </w:r>
    </w:p>
    <w:p w14:paraId="747DF82E">
      <w:pPr>
        <w:spacing w:line="440" w:lineRule="exact"/>
        <w:ind w:firstLine="480"/>
        <w:jc w:val="left"/>
        <w:rPr>
          <w:color w:val="auto"/>
          <w:sz w:val="24"/>
          <w:szCs w:val="24"/>
        </w:rPr>
      </w:pPr>
      <w:r>
        <w:rPr>
          <w:rFonts w:hint="eastAsia"/>
          <w:color w:val="auto"/>
          <w:sz w:val="24"/>
          <w:szCs w:val="24"/>
        </w:rPr>
        <w:t>3、验收标准：验收标准符合国家最新的技术规范和标准，同时满足磋商文件服务、技术要求及成交供应商承诺的其他指标。</w:t>
      </w:r>
    </w:p>
    <w:p w14:paraId="1FA6E8D6">
      <w:pPr>
        <w:spacing w:line="440" w:lineRule="exact"/>
        <w:ind w:firstLine="480"/>
        <w:jc w:val="left"/>
        <w:rPr>
          <w:color w:val="auto"/>
          <w:sz w:val="24"/>
          <w:szCs w:val="24"/>
        </w:rPr>
      </w:pPr>
      <w:r>
        <w:rPr>
          <w:rFonts w:hint="eastAsia"/>
          <w:color w:val="auto"/>
          <w:sz w:val="24"/>
          <w:szCs w:val="24"/>
        </w:rPr>
        <w:t>4、违约责任：如果验收不符合磋商文件要求，采购人有权要求成交供应商无条件更正，由此造成的一切损失由成交供应商自行承担。</w:t>
      </w:r>
    </w:p>
    <w:p w14:paraId="613F116A">
      <w:pPr>
        <w:spacing w:line="440" w:lineRule="exact"/>
        <w:ind w:firstLine="480"/>
        <w:jc w:val="left"/>
        <w:rPr>
          <w:color w:val="auto"/>
          <w:sz w:val="24"/>
          <w:szCs w:val="24"/>
        </w:rPr>
      </w:pPr>
    </w:p>
    <w:p w14:paraId="4B8BE7C6">
      <w:pPr>
        <w:spacing w:line="440" w:lineRule="exact"/>
        <w:outlineLvl w:val="1"/>
        <w:rPr>
          <w:b/>
          <w:bCs/>
          <w:color w:val="auto"/>
          <w:sz w:val="28"/>
          <w:szCs w:val="28"/>
        </w:rPr>
      </w:pPr>
      <w:bookmarkStart w:id="114" w:name="_Toc5384"/>
      <w:r>
        <w:rPr>
          <w:rFonts w:hint="eastAsia"/>
          <w:b/>
          <w:bCs/>
          <w:color w:val="auto"/>
          <w:sz w:val="28"/>
          <w:szCs w:val="28"/>
        </w:rPr>
        <w:t>五、报价要求：</w:t>
      </w:r>
      <w:bookmarkEnd w:id="111"/>
      <w:bookmarkEnd w:id="112"/>
      <w:bookmarkEnd w:id="114"/>
    </w:p>
    <w:bookmarkEnd w:id="79"/>
    <w:bookmarkEnd w:id="80"/>
    <w:bookmarkEnd w:id="81"/>
    <w:p w14:paraId="51476FB8">
      <w:pPr>
        <w:autoSpaceDE w:val="0"/>
        <w:autoSpaceDN w:val="0"/>
        <w:adjustRightInd w:val="0"/>
        <w:spacing w:line="440" w:lineRule="exact"/>
        <w:ind w:firstLine="482" w:firstLineChars="200"/>
        <w:rPr>
          <w:b/>
          <w:bCs/>
          <w:i/>
          <w:iCs/>
          <w:color w:val="auto"/>
          <w:sz w:val="24"/>
          <w:szCs w:val="24"/>
          <w:u w:val="single"/>
        </w:rPr>
      </w:pPr>
      <w:r>
        <w:rPr>
          <w:b/>
          <w:bCs/>
          <w:i/>
          <w:iCs/>
          <w:color w:val="auto"/>
          <w:sz w:val="24"/>
          <w:szCs w:val="24"/>
          <w:u w:val="single"/>
        </w:rPr>
        <w:t>1</w:t>
      </w:r>
      <w:r>
        <w:rPr>
          <w:rFonts w:hint="eastAsia"/>
          <w:b/>
          <w:bCs/>
          <w:i/>
          <w:iCs/>
          <w:color w:val="auto"/>
          <w:sz w:val="24"/>
          <w:szCs w:val="24"/>
          <w:u w:val="single"/>
        </w:rPr>
        <w:t>、供应商应对本项目中的所有系统功能服务进行报价，不得拆开报价或只对其中的部分内容进行报价，否则将失去磋商资格。</w:t>
      </w:r>
    </w:p>
    <w:p w14:paraId="3C95C90D">
      <w:pPr>
        <w:autoSpaceDE w:val="0"/>
        <w:autoSpaceDN w:val="0"/>
        <w:adjustRightInd w:val="0"/>
        <w:spacing w:line="440" w:lineRule="exact"/>
        <w:ind w:firstLine="480" w:firstLineChars="200"/>
        <w:rPr>
          <w:color w:val="auto"/>
          <w:sz w:val="24"/>
          <w:szCs w:val="24"/>
        </w:rPr>
      </w:pPr>
      <w:r>
        <w:rPr>
          <w:rFonts w:hint="eastAsia"/>
          <w:color w:val="auto"/>
          <w:sz w:val="24"/>
          <w:szCs w:val="24"/>
        </w:rPr>
        <w:t>2、供应商应以人民币报价，报价总价包括完成该项目工作所需的所有费用，包括人工、保险、社保、管理、耗材、驻场费、运行维护费、税费、培训、售后服务费用及为完成整个项目所产生的其它所有费用，以及政策性文件规定及合同包含的所有风险、责任等各项应有费用。</w:t>
      </w:r>
    </w:p>
    <w:p w14:paraId="23BC47DF">
      <w:pPr>
        <w:autoSpaceDE w:val="0"/>
        <w:autoSpaceDN w:val="0"/>
        <w:adjustRightInd w:val="0"/>
        <w:spacing w:line="440" w:lineRule="exact"/>
        <w:ind w:firstLine="480" w:firstLineChars="200"/>
        <w:rPr>
          <w:rFonts w:hint="eastAsia"/>
          <w:color w:val="auto"/>
          <w:sz w:val="24"/>
          <w:szCs w:val="24"/>
        </w:rPr>
      </w:pPr>
      <w:r>
        <w:rPr>
          <w:rFonts w:hint="eastAsia"/>
          <w:color w:val="auto"/>
          <w:sz w:val="24"/>
          <w:szCs w:val="24"/>
        </w:rPr>
        <w:t>3、供应商在报价时应考虑各种风险因素，相关风险因素费用包含在报价总价中。风险因素包括遇突发情况、物价调整、税费调整等。</w:t>
      </w:r>
    </w:p>
    <w:p w14:paraId="594EBE14">
      <w:pPr>
        <w:rPr>
          <w:rFonts w:hint="eastAsia"/>
          <w:color w:val="auto"/>
          <w:sz w:val="24"/>
          <w:szCs w:val="24"/>
        </w:rPr>
      </w:pPr>
    </w:p>
    <w:p w14:paraId="348C2273">
      <w:pPr>
        <w:rPr>
          <w:rFonts w:ascii="Times New Roman" w:hAnsi="Times New Roman"/>
          <w:color w:val="auto"/>
        </w:rPr>
      </w:pPr>
      <w:bookmarkStart w:id="232" w:name="_GoBack"/>
      <w:bookmarkEnd w:id="232"/>
      <w:bookmarkStart w:id="115" w:name="_Toc9076"/>
      <w:bookmarkStart w:id="116" w:name="_Toc17884"/>
      <w:bookmarkStart w:id="117" w:name="_Toc20840"/>
      <w:bookmarkStart w:id="118" w:name="_Toc475275563"/>
    </w:p>
    <w:p w14:paraId="489E5EB1">
      <w:pPr>
        <w:pStyle w:val="4"/>
        <w:ind w:firstLine="904"/>
        <w:rPr>
          <w:rFonts w:ascii="Times New Roman" w:hAnsi="Times New Roman"/>
          <w:color w:val="auto"/>
        </w:rPr>
      </w:pPr>
      <w:r>
        <w:rPr>
          <w:rFonts w:ascii="Times New Roman" w:hAnsi="Times New Roman"/>
          <w:color w:val="auto"/>
        </w:rPr>
        <w:t xml:space="preserve">第五章  </w:t>
      </w:r>
      <w:r>
        <w:rPr>
          <w:rFonts w:hint="eastAsia" w:ascii="Times New Roman" w:hAnsi="Times New Roman"/>
          <w:color w:val="auto"/>
        </w:rPr>
        <w:t>评标方法与评标标准</w:t>
      </w:r>
      <w:bookmarkEnd w:id="115"/>
      <w:bookmarkEnd w:id="116"/>
      <w:bookmarkEnd w:id="117"/>
    </w:p>
    <w:p w14:paraId="7EA39951">
      <w:pPr>
        <w:spacing w:line="440" w:lineRule="exact"/>
        <w:rPr>
          <w:b/>
          <w:bCs/>
          <w:color w:val="auto"/>
          <w:sz w:val="28"/>
          <w:szCs w:val="28"/>
        </w:rPr>
      </w:pPr>
      <w:r>
        <w:rPr>
          <w:b/>
          <w:bCs/>
          <w:color w:val="auto"/>
          <w:sz w:val="28"/>
          <w:szCs w:val="28"/>
        </w:rPr>
        <w:t>一、评审方法：</w:t>
      </w:r>
    </w:p>
    <w:p w14:paraId="653DC3A4">
      <w:pPr>
        <w:spacing w:line="440" w:lineRule="exact"/>
        <w:ind w:firstLine="470"/>
        <w:rPr>
          <w:color w:val="auto"/>
          <w:sz w:val="24"/>
          <w:szCs w:val="24"/>
        </w:rPr>
      </w:pPr>
      <w:r>
        <w:rPr>
          <w:color w:val="auto"/>
          <w:sz w:val="24"/>
          <w:szCs w:val="24"/>
        </w:rPr>
        <w:t>1、本项目采用综合评分法。评审结果按评审后得分由高到低顺序排列。得分相同的，按最后报价由低到高顺序排列。得分且最后报价相同的，</w:t>
      </w:r>
      <w:r>
        <w:rPr>
          <w:rFonts w:hint="eastAsia"/>
          <w:color w:val="auto"/>
          <w:sz w:val="24"/>
          <w:szCs w:val="24"/>
        </w:rPr>
        <w:t>则由磋商小组组织抽签确定</w:t>
      </w:r>
      <w:r>
        <w:rPr>
          <w:color w:val="auto"/>
          <w:sz w:val="24"/>
          <w:szCs w:val="24"/>
        </w:rPr>
        <w:t>。</w:t>
      </w:r>
    </w:p>
    <w:p w14:paraId="0D87574D">
      <w:pPr>
        <w:spacing w:line="440" w:lineRule="exact"/>
        <w:ind w:firstLine="470"/>
        <w:rPr>
          <w:color w:val="auto"/>
          <w:sz w:val="24"/>
          <w:szCs w:val="24"/>
        </w:rPr>
      </w:pPr>
      <w:r>
        <w:rPr>
          <w:color w:val="auto"/>
          <w:sz w:val="24"/>
          <w:szCs w:val="24"/>
        </w:rPr>
        <w:t>2、磋商小组根据排列情况将推荐前三名为成交候选人，并根据采购人委托直接确定排名第一的成交候选人为成交供应商。</w:t>
      </w:r>
    </w:p>
    <w:p w14:paraId="1C2CEDF5">
      <w:pPr>
        <w:spacing w:line="440" w:lineRule="exact"/>
        <w:rPr>
          <w:b/>
          <w:bCs/>
          <w:color w:val="auto"/>
          <w:sz w:val="28"/>
          <w:szCs w:val="28"/>
        </w:rPr>
      </w:pPr>
      <w:r>
        <w:rPr>
          <w:b/>
          <w:bCs/>
          <w:color w:val="auto"/>
          <w:sz w:val="28"/>
          <w:szCs w:val="28"/>
        </w:rPr>
        <w:t>二、评审因素、权值及评分标准：</w:t>
      </w:r>
    </w:p>
    <w:p w14:paraId="02B18056">
      <w:pPr>
        <w:spacing w:line="440" w:lineRule="exact"/>
        <w:ind w:firstLine="470"/>
        <w:rPr>
          <w:color w:val="auto"/>
          <w:sz w:val="24"/>
        </w:rPr>
      </w:pPr>
      <w:bookmarkStart w:id="119" w:name="OLE_LINK65"/>
      <w:bookmarkStart w:id="120" w:name="OLE_LINK61"/>
      <w:bookmarkStart w:id="121" w:name="_Toc315868076"/>
      <w:bookmarkStart w:id="122" w:name="_Toc158691788"/>
      <w:bookmarkStart w:id="123" w:name="_Toc315875338"/>
      <w:r>
        <w:rPr>
          <w:color w:val="auto"/>
          <w:sz w:val="24"/>
        </w:rPr>
        <w:t>注：每部分的得分保留小数点后</w:t>
      </w:r>
      <w:r>
        <w:rPr>
          <w:rFonts w:hint="eastAsia"/>
          <w:color w:val="auto"/>
          <w:sz w:val="24"/>
        </w:rPr>
        <w:t>一</w:t>
      </w:r>
      <w:r>
        <w:rPr>
          <w:color w:val="auto"/>
          <w:sz w:val="24"/>
        </w:rPr>
        <w:t>位，合计得分保留小数点后</w:t>
      </w:r>
      <w:r>
        <w:rPr>
          <w:rFonts w:hint="eastAsia"/>
          <w:color w:val="auto"/>
          <w:sz w:val="24"/>
        </w:rPr>
        <w:t>一</w:t>
      </w:r>
      <w:r>
        <w:rPr>
          <w:color w:val="auto"/>
          <w:sz w:val="24"/>
        </w:rPr>
        <w:t>位。</w:t>
      </w:r>
    </w:p>
    <w:p w14:paraId="6E951CC9">
      <w:pPr>
        <w:spacing w:line="440" w:lineRule="exact"/>
        <w:ind w:firstLine="482"/>
        <w:rPr>
          <w:b/>
          <w:bCs/>
          <w:color w:val="auto"/>
          <w:sz w:val="24"/>
        </w:rPr>
      </w:pPr>
      <w:r>
        <w:rPr>
          <w:b/>
          <w:bCs/>
          <w:color w:val="auto"/>
          <w:sz w:val="24"/>
        </w:rPr>
        <w:t>1、</w:t>
      </w:r>
      <w:r>
        <w:rPr>
          <w:rFonts w:hint="eastAsia"/>
          <w:b/>
          <w:bCs/>
          <w:color w:val="auto"/>
          <w:sz w:val="24"/>
        </w:rPr>
        <w:t>最后</w:t>
      </w:r>
      <w:r>
        <w:rPr>
          <w:b/>
          <w:bCs/>
          <w:color w:val="auto"/>
          <w:sz w:val="24"/>
        </w:rPr>
        <w:t>报价</w:t>
      </w:r>
      <w:r>
        <w:rPr>
          <w:rFonts w:hint="eastAsia"/>
          <w:b/>
          <w:bCs/>
          <w:color w:val="auto"/>
          <w:sz w:val="24"/>
        </w:rPr>
        <w:t>10</w:t>
      </w:r>
      <w:r>
        <w:rPr>
          <w:b/>
          <w:bCs/>
          <w:color w:val="auto"/>
          <w:sz w:val="24"/>
        </w:rPr>
        <w:t>分</w:t>
      </w:r>
      <w:bookmarkEnd w:id="119"/>
      <w:bookmarkEnd w:id="120"/>
    </w:p>
    <w:p w14:paraId="697E380A">
      <w:pPr>
        <w:spacing w:line="440" w:lineRule="exact"/>
        <w:ind w:firstLine="480"/>
        <w:rPr>
          <w:color w:val="auto"/>
          <w:sz w:val="24"/>
          <w:szCs w:val="24"/>
        </w:rPr>
      </w:pPr>
      <w:bookmarkStart w:id="124" w:name="OLE_LINK67"/>
      <w:bookmarkStart w:id="125" w:name="OLE_LINK15"/>
      <w:bookmarkStart w:id="126" w:name="OLE_LINK66"/>
      <w:r>
        <w:rPr>
          <w:color w:val="auto"/>
          <w:sz w:val="24"/>
          <w:szCs w:val="24"/>
        </w:rPr>
        <w:t>满足磋商文件要求且最后</w:t>
      </w:r>
      <w:r>
        <w:rPr>
          <w:b/>
          <w:color w:val="auto"/>
          <w:sz w:val="24"/>
          <w:szCs w:val="24"/>
        </w:rPr>
        <w:t>报价最低</w:t>
      </w:r>
      <w:r>
        <w:rPr>
          <w:color w:val="auto"/>
          <w:sz w:val="24"/>
          <w:szCs w:val="24"/>
        </w:rPr>
        <w:t>的供应商的价格为磋商基准价，其价格分为</w:t>
      </w:r>
      <w:r>
        <w:rPr>
          <w:rFonts w:hint="eastAsia"/>
          <w:color w:val="auto"/>
          <w:sz w:val="24"/>
          <w:szCs w:val="24"/>
        </w:rPr>
        <w:t>10</w:t>
      </w:r>
      <w:r>
        <w:rPr>
          <w:color w:val="auto"/>
          <w:sz w:val="24"/>
          <w:szCs w:val="24"/>
        </w:rPr>
        <w:t>分；其他供应商的价格分按下列公式计算：磋商报价得分＝（磋商基准价／最后磋商报价）×</w:t>
      </w:r>
      <w:r>
        <w:rPr>
          <w:rFonts w:hint="eastAsia"/>
          <w:color w:val="auto"/>
          <w:sz w:val="24"/>
          <w:szCs w:val="24"/>
        </w:rPr>
        <w:t>10</w:t>
      </w:r>
      <w:r>
        <w:rPr>
          <w:color w:val="auto"/>
          <w:sz w:val="24"/>
          <w:szCs w:val="24"/>
        </w:rPr>
        <w:t>分。</w:t>
      </w:r>
      <w:bookmarkEnd w:id="121"/>
      <w:bookmarkEnd w:id="122"/>
      <w:bookmarkEnd w:id="123"/>
      <w:bookmarkEnd w:id="124"/>
      <w:bookmarkEnd w:id="125"/>
      <w:bookmarkEnd w:id="126"/>
    </w:p>
    <w:p w14:paraId="2A38D37E">
      <w:pPr>
        <w:pBdr>
          <w:top w:val="none" w:color="000000" w:sz="0" w:space="0"/>
          <w:left w:val="none" w:color="000000" w:sz="0" w:space="0"/>
          <w:bottom w:val="none" w:color="000000" w:sz="0" w:space="0"/>
          <w:right w:val="none" w:color="000000" w:sz="0" w:space="0"/>
        </w:pBdr>
        <w:spacing w:line="440" w:lineRule="exact"/>
        <w:ind w:firstLine="480" w:firstLineChars="200"/>
        <w:rPr>
          <w:color w:val="auto"/>
        </w:rPr>
      </w:pPr>
      <w:r>
        <w:rPr>
          <w:rFonts w:ascii="宋体" w:hAnsi="宋体" w:cs="宋体"/>
          <w:color w:val="auto"/>
          <w:sz w:val="24"/>
        </w:rPr>
        <w:t>（一）评审过程中出现下列情形之一的，评审委员会应当启动异常低价投标（响应）审查：</w:t>
      </w:r>
    </w:p>
    <w:p w14:paraId="611645EA">
      <w:pPr>
        <w:pBdr>
          <w:top w:val="none" w:color="000000" w:sz="0" w:space="0"/>
          <w:left w:val="none" w:color="000000" w:sz="0" w:space="0"/>
          <w:bottom w:val="none" w:color="000000" w:sz="0" w:space="0"/>
          <w:right w:val="none" w:color="000000" w:sz="0" w:space="0"/>
        </w:pBdr>
        <w:spacing w:line="440" w:lineRule="exact"/>
        <w:ind w:firstLine="787"/>
        <w:rPr>
          <w:color w:val="auto"/>
        </w:rPr>
      </w:pPr>
      <w:r>
        <w:rPr>
          <w:rFonts w:eastAsia="Times New Roman"/>
          <w:color w:val="auto"/>
          <w:sz w:val="24"/>
        </w:rPr>
        <w:t>1.</w:t>
      </w:r>
      <w:r>
        <w:rPr>
          <w:rFonts w:ascii="宋体" w:hAnsi="宋体" w:cs="宋体"/>
          <w:color w:val="auto"/>
          <w:sz w:val="24"/>
        </w:rPr>
        <w:t>投标（响应）报价低于采购项目预算</w:t>
      </w:r>
      <w:r>
        <w:rPr>
          <w:rFonts w:eastAsia="Times New Roman"/>
          <w:color w:val="auto"/>
          <w:sz w:val="24"/>
        </w:rPr>
        <w:t>50%</w:t>
      </w:r>
      <w:r>
        <w:rPr>
          <w:rFonts w:ascii="宋体" w:hAnsi="宋体" w:cs="宋体"/>
          <w:color w:val="auto"/>
          <w:sz w:val="24"/>
        </w:rPr>
        <w:t>的，即投标（响应）报价</w:t>
      </w:r>
      <w:r>
        <w:rPr>
          <w:rFonts w:eastAsia="Times New Roman"/>
          <w:color w:val="auto"/>
          <w:sz w:val="24"/>
        </w:rPr>
        <w:t>&lt;</w:t>
      </w:r>
      <w:r>
        <w:rPr>
          <w:rFonts w:ascii="宋体" w:hAnsi="宋体" w:cs="宋体"/>
          <w:color w:val="auto"/>
          <w:sz w:val="24"/>
        </w:rPr>
        <w:t>采购项目预算×</w:t>
      </w:r>
      <w:r>
        <w:rPr>
          <w:rFonts w:eastAsia="Times New Roman"/>
          <w:color w:val="auto"/>
          <w:sz w:val="24"/>
        </w:rPr>
        <w:t>50%</w:t>
      </w:r>
      <w:r>
        <w:rPr>
          <w:rFonts w:ascii="宋体" w:hAnsi="宋体" w:cs="宋体"/>
          <w:color w:val="auto"/>
          <w:sz w:val="24"/>
        </w:rPr>
        <w:t>；</w:t>
      </w:r>
    </w:p>
    <w:p w14:paraId="2E85043D">
      <w:pPr>
        <w:pBdr>
          <w:top w:val="none" w:color="000000" w:sz="0" w:space="0"/>
          <w:left w:val="none" w:color="000000" w:sz="0" w:space="0"/>
          <w:bottom w:val="none" w:color="000000" w:sz="0" w:space="0"/>
          <w:right w:val="none" w:color="000000" w:sz="0" w:space="0"/>
        </w:pBdr>
        <w:spacing w:line="440" w:lineRule="exact"/>
        <w:ind w:firstLine="787"/>
        <w:rPr>
          <w:color w:val="auto"/>
        </w:rPr>
      </w:pPr>
      <w:r>
        <w:rPr>
          <w:rFonts w:eastAsia="Times New Roman"/>
          <w:color w:val="auto"/>
          <w:sz w:val="24"/>
        </w:rPr>
        <w:t>2.</w:t>
      </w:r>
      <w:r>
        <w:rPr>
          <w:rFonts w:ascii="宋体" w:hAnsi="宋体" w:cs="宋体"/>
          <w:color w:val="auto"/>
          <w:sz w:val="24"/>
        </w:rPr>
        <w:t>投标（响应）报价低于采购项目最高限价</w:t>
      </w:r>
      <w:r>
        <w:rPr>
          <w:rFonts w:eastAsia="Times New Roman"/>
          <w:color w:val="auto"/>
          <w:sz w:val="24"/>
        </w:rPr>
        <w:t>45%</w:t>
      </w:r>
      <w:r>
        <w:rPr>
          <w:rFonts w:ascii="宋体" w:hAnsi="宋体" w:cs="宋体"/>
          <w:color w:val="auto"/>
          <w:sz w:val="24"/>
        </w:rPr>
        <w:t>的，即投标（响应）报价</w:t>
      </w:r>
      <w:r>
        <w:rPr>
          <w:rFonts w:eastAsia="Times New Roman"/>
          <w:color w:val="auto"/>
          <w:sz w:val="24"/>
        </w:rPr>
        <w:t>&lt;</w:t>
      </w:r>
      <w:r>
        <w:rPr>
          <w:rFonts w:ascii="宋体" w:hAnsi="宋体" w:cs="宋体"/>
          <w:color w:val="auto"/>
          <w:sz w:val="24"/>
        </w:rPr>
        <w:t>采购项目最高限价×</w:t>
      </w:r>
      <w:r>
        <w:rPr>
          <w:rFonts w:eastAsia="Times New Roman"/>
          <w:color w:val="auto"/>
          <w:sz w:val="24"/>
        </w:rPr>
        <w:t>45%</w:t>
      </w:r>
      <w:r>
        <w:rPr>
          <w:rFonts w:ascii="宋体" w:hAnsi="宋体" w:cs="宋体"/>
          <w:color w:val="auto"/>
          <w:sz w:val="24"/>
        </w:rPr>
        <w:t>；</w:t>
      </w:r>
    </w:p>
    <w:p w14:paraId="40007705">
      <w:pPr>
        <w:pBdr>
          <w:top w:val="none" w:color="000000" w:sz="0" w:space="0"/>
          <w:left w:val="none" w:color="000000" w:sz="0" w:space="0"/>
          <w:bottom w:val="none" w:color="000000" w:sz="0" w:space="0"/>
          <w:right w:val="none" w:color="000000" w:sz="0" w:space="0"/>
        </w:pBdr>
        <w:spacing w:line="440" w:lineRule="exact"/>
        <w:ind w:firstLine="787"/>
        <w:rPr>
          <w:color w:val="auto"/>
        </w:rPr>
      </w:pPr>
      <w:r>
        <w:rPr>
          <w:rFonts w:eastAsia="Times New Roman"/>
          <w:color w:val="auto"/>
          <w:sz w:val="24"/>
        </w:rPr>
        <w:t>3.</w:t>
      </w:r>
      <w:r>
        <w:rPr>
          <w:rFonts w:ascii="宋体" w:hAnsi="宋体" w:cs="宋体"/>
          <w:color w:val="auto"/>
          <w:sz w:val="24"/>
        </w:rPr>
        <w:t>评审委员会认定的供应商报价过低、有可能影响产品质量或者不能诚信履约的其他情形。</w:t>
      </w:r>
    </w:p>
    <w:p w14:paraId="6CE2D301">
      <w:pPr>
        <w:pBdr>
          <w:top w:val="none" w:color="000000" w:sz="0" w:space="0"/>
          <w:left w:val="none" w:color="000000" w:sz="0" w:space="0"/>
          <w:bottom w:val="none" w:color="000000" w:sz="0" w:space="0"/>
          <w:right w:val="none" w:color="000000" w:sz="0" w:space="0"/>
        </w:pBdr>
        <w:spacing w:line="440" w:lineRule="exact"/>
        <w:ind w:firstLine="480"/>
        <w:rPr>
          <w:color w:val="auto"/>
        </w:rPr>
      </w:pPr>
      <w:r>
        <w:rPr>
          <w:rFonts w:ascii="宋体" w:hAnsi="宋体" w:cs="宋体"/>
          <w:color w:val="auto"/>
          <w:sz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4C5C58C">
      <w:pPr>
        <w:spacing w:line="440" w:lineRule="exact"/>
        <w:ind w:firstLine="482" w:firstLineChars="200"/>
        <w:rPr>
          <w:rFonts w:cs="宋体"/>
          <w:color w:val="auto"/>
          <w:sz w:val="24"/>
          <w:szCs w:val="24"/>
        </w:rPr>
      </w:pPr>
      <w:r>
        <w:rPr>
          <w:rFonts w:hint="eastAsia" w:cs="宋体"/>
          <w:b/>
          <w:bCs/>
          <w:color w:val="auto"/>
          <w:sz w:val="24"/>
          <w:szCs w:val="24"/>
        </w:rPr>
        <w:t>2、技术部分50</w:t>
      </w:r>
      <w:r>
        <w:rPr>
          <w:rFonts w:cs="宋体"/>
          <w:b/>
          <w:bCs/>
          <w:color w:val="auto"/>
          <w:sz w:val="24"/>
          <w:szCs w:val="24"/>
        </w:rPr>
        <w:t>分</w:t>
      </w:r>
    </w:p>
    <w:tbl>
      <w:tblPr>
        <w:tblStyle w:val="57"/>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935"/>
        <w:gridCol w:w="870"/>
        <w:gridCol w:w="5811"/>
      </w:tblGrid>
      <w:tr w14:paraId="6241C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14:paraId="42387330">
            <w:pPr>
              <w:spacing w:line="300" w:lineRule="exact"/>
              <w:jc w:val="center"/>
              <w:rPr>
                <w:rFonts w:ascii="Times New Roman" w:hAnsi="Times New Roman" w:eastAsia="宋体"/>
                <w:b/>
                <w:bCs/>
                <w:color w:val="auto"/>
                <w:sz w:val="24"/>
                <w:szCs w:val="24"/>
              </w:rPr>
            </w:pPr>
            <w:r>
              <w:rPr>
                <w:rFonts w:hint="eastAsia" w:ascii="Times New Roman" w:hAnsi="Times New Roman" w:eastAsia="宋体"/>
                <w:b/>
                <w:bCs/>
                <w:color w:val="auto"/>
                <w:sz w:val="24"/>
                <w:szCs w:val="24"/>
              </w:rPr>
              <w:t>序号</w:t>
            </w:r>
          </w:p>
        </w:tc>
        <w:tc>
          <w:tcPr>
            <w:tcW w:w="1935" w:type="dxa"/>
            <w:tcBorders>
              <w:top w:val="single" w:color="auto" w:sz="4" w:space="0"/>
              <w:left w:val="single" w:color="auto" w:sz="4" w:space="0"/>
              <w:bottom w:val="single" w:color="auto" w:sz="4" w:space="0"/>
              <w:right w:val="single" w:color="auto" w:sz="4" w:space="0"/>
            </w:tcBorders>
            <w:vAlign w:val="center"/>
          </w:tcPr>
          <w:p w14:paraId="0AA7BE6D">
            <w:pPr>
              <w:spacing w:line="300" w:lineRule="exact"/>
              <w:jc w:val="center"/>
              <w:rPr>
                <w:rFonts w:ascii="Times New Roman" w:hAnsi="Times New Roman" w:eastAsia="宋体"/>
                <w:b/>
                <w:bCs/>
                <w:color w:val="auto"/>
                <w:sz w:val="24"/>
                <w:szCs w:val="24"/>
              </w:rPr>
            </w:pPr>
            <w:r>
              <w:rPr>
                <w:rFonts w:hint="eastAsia" w:ascii="Times New Roman" w:hAnsi="Times New Roman" w:eastAsia="宋体"/>
                <w:b/>
                <w:bCs/>
                <w:color w:val="auto"/>
                <w:sz w:val="24"/>
                <w:szCs w:val="24"/>
              </w:rPr>
              <w:t>评审因素</w:t>
            </w:r>
          </w:p>
        </w:tc>
        <w:tc>
          <w:tcPr>
            <w:tcW w:w="870" w:type="dxa"/>
            <w:tcBorders>
              <w:top w:val="single" w:color="auto" w:sz="4" w:space="0"/>
              <w:left w:val="single" w:color="auto" w:sz="4" w:space="0"/>
              <w:bottom w:val="single" w:color="auto" w:sz="4" w:space="0"/>
              <w:right w:val="single" w:color="auto" w:sz="4" w:space="0"/>
            </w:tcBorders>
            <w:vAlign w:val="center"/>
          </w:tcPr>
          <w:p w14:paraId="604101BC">
            <w:pPr>
              <w:spacing w:line="300" w:lineRule="exact"/>
              <w:jc w:val="center"/>
              <w:rPr>
                <w:rFonts w:ascii="Times New Roman" w:hAnsi="Times New Roman" w:eastAsia="宋体"/>
                <w:b/>
                <w:bCs/>
                <w:color w:val="auto"/>
                <w:sz w:val="24"/>
                <w:szCs w:val="24"/>
              </w:rPr>
            </w:pPr>
            <w:r>
              <w:rPr>
                <w:rFonts w:hint="eastAsia" w:ascii="Times New Roman" w:hAnsi="Times New Roman" w:eastAsia="宋体"/>
                <w:b/>
                <w:bCs/>
                <w:color w:val="auto"/>
                <w:sz w:val="24"/>
                <w:szCs w:val="24"/>
              </w:rPr>
              <w:t>权值</w:t>
            </w:r>
          </w:p>
        </w:tc>
        <w:tc>
          <w:tcPr>
            <w:tcW w:w="5811" w:type="dxa"/>
            <w:tcBorders>
              <w:top w:val="single" w:color="auto" w:sz="4" w:space="0"/>
              <w:left w:val="single" w:color="auto" w:sz="4" w:space="0"/>
              <w:bottom w:val="single" w:color="auto" w:sz="4" w:space="0"/>
              <w:right w:val="single" w:color="auto" w:sz="4" w:space="0"/>
            </w:tcBorders>
            <w:vAlign w:val="center"/>
          </w:tcPr>
          <w:p w14:paraId="38EC7498">
            <w:pPr>
              <w:spacing w:line="300" w:lineRule="exact"/>
              <w:jc w:val="center"/>
              <w:rPr>
                <w:rFonts w:ascii="Times New Roman" w:hAnsi="Times New Roman" w:eastAsia="宋体"/>
                <w:b/>
                <w:bCs/>
                <w:color w:val="auto"/>
                <w:sz w:val="24"/>
                <w:szCs w:val="24"/>
              </w:rPr>
            </w:pPr>
            <w:r>
              <w:rPr>
                <w:rFonts w:hint="eastAsia" w:ascii="Times New Roman" w:hAnsi="Times New Roman" w:eastAsia="宋体"/>
                <w:b/>
                <w:bCs/>
                <w:color w:val="auto"/>
                <w:sz w:val="24"/>
                <w:szCs w:val="24"/>
              </w:rPr>
              <w:t>评分标准</w:t>
            </w:r>
          </w:p>
        </w:tc>
      </w:tr>
      <w:tr w14:paraId="75B3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14:paraId="10D29AE2">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1</w:t>
            </w:r>
          </w:p>
        </w:tc>
        <w:tc>
          <w:tcPr>
            <w:tcW w:w="1935" w:type="dxa"/>
            <w:tcBorders>
              <w:top w:val="single" w:color="auto" w:sz="4" w:space="0"/>
              <w:left w:val="single" w:color="auto" w:sz="4" w:space="0"/>
              <w:bottom w:val="single" w:color="auto" w:sz="4" w:space="0"/>
              <w:right w:val="single" w:color="auto" w:sz="4" w:space="0"/>
            </w:tcBorders>
            <w:vAlign w:val="center"/>
          </w:tcPr>
          <w:p w14:paraId="7A8C8286">
            <w:pPr>
              <w:widowControl/>
              <w:jc w:val="center"/>
              <w:rPr>
                <w:rFonts w:ascii="Times New Roman" w:hAnsi="Times New Roman" w:eastAsia="宋体" w:cs="宋体"/>
                <w:color w:val="auto"/>
                <w:sz w:val="24"/>
                <w:szCs w:val="24"/>
              </w:rPr>
            </w:pPr>
            <w:r>
              <w:rPr>
                <w:rFonts w:hint="eastAsia" w:ascii="Times New Roman" w:hAnsi="Times New Roman" w:eastAsia="宋体"/>
                <w:color w:val="auto"/>
                <w:sz w:val="24"/>
                <w:szCs w:val="24"/>
              </w:rPr>
              <w:t>服务要求响应性</w:t>
            </w:r>
          </w:p>
        </w:tc>
        <w:tc>
          <w:tcPr>
            <w:tcW w:w="870" w:type="dxa"/>
            <w:tcBorders>
              <w:top w:val="single" w:color="auto" w:sz="4" w:space="0"/>
              <w:left w:val="single" w:color="auto" w:sz="4" w:space="0"/>
              <w:bottom w:val="single" w:color="auto" w:sz="4" w:space="0"/>
              <w:right w:val="single" w:color="auto" w:sz="4" w:space="0"/>
            </w:tcBorders>
            <w:vAlign w:val="center"/>
          </w:tcPr>
          <w:p w14:paraId="7B78583F">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20分</w:t>
            </w:r>
          </w:p>
        </w:tc>
        <w:tc>
          <w:tcPr>
            <w:tcW w:w="5811" w:type="dxa"/>
            <w:tcBorders>
              <w:top w:val="single" w:color="auto" w:sz="4" w:space="0"/>
              <w:left w:val="single" w:color="auto" w:sz="4" w:space="0"/>
              <w:bottom w:val="single" w:color="auto" w:sz="4" w:space="0"/>
              <w:right w:val="single" w:color="auto" w:sz="4" w:space="0"/>
            </w:tcBorders>
            <w:vAlign w:val="center"/>
          </w:tcPr>
          <w:p w14:paraId="52DE559B">
            <w:pPr>
              <w:spacing w:line="300" w:lineRule="exact"/>
              <w:rPr>
                <w:rFonts w:ascii="Times New Roman" w:hAnsi="Times New Roman" w:eastAsia="宋体" w:cs="宋体"/>
                <w:b/>
                <w:bCs/>
                <w:color w:val="auto"/>
                <w:sz w:val="24"/>
                <w:szCs w:val="24"/>
              </w:rPr>
            </w:pPr>
            <w:r>
              <w:rPr>
                <w:rFonts w:ascii="Times New Roman" w:hAnsi="Times New Roman" w:eastAsia="宋体"/>
                <w:color w:val="auto"/>
                <w:sz w:val="24"/>
              </w:rPr>
              <w:t>投标人承诺提供的服务全部满足</w:t>
            </w:r>
            <w:r>
              <w:rPr>
                <w:rFonts w:hint="eastAsia" w:ascii="Times New Roman" w:hAnsi="Times New Roman" w:eastAsia="宋体"/>
                <w:color w:val="auto"/>
                <w:sz w:val="24"/>
              </w:rPr>
              <w:t>磋商</w:t>
            </w:r>
            <w:r>
              <w:rPr>
                <w:rFonts w:ascii="Times New Roman" w:hAnsi="Times New Roman" w:eastAsia="宋体"/>
                <w:color w:val="auto"/>
                <w:sz w:val="24"/>
              </w:rPr>
              <w:t>文件要求的得</w:t>
            </w:r>
            <w:r>
              <w:rPr>
                <w:rFonts w:hint="eastAsia" w:ascii="Times New Roman" w:hAnsi="Times New Roman" w:eastAsia="宋体"/>
                <w:color w:val="auto"/>
                <w:sz w:val="24"/>
              </w:rPr>
              <w:t>20</w:t>
            </w:r>
            <w:r>
              <w:rPr>
                <w:rFonts w:ascii="Times New Roman" w:hAnsi="Times New Roman" w:eastAsia="宋体"/>
                <w:color w:val="auto"/>
                <w:sz w:val="24"/>
              </w:rPr>
              <w:t>分；存在常规要求负偏离的，每条扣</w:t>
            </w:r>
            <w:r>
              <w:rPr>
                <w:rFonts w:hint="eastAsia" w:ascii="Times New Roman" w:hAnsi="Times New Roman" w:eastAsia="宋体"/>
                <w:color w:val="auto"/>
                <w:sz w:val="24"/>
              </w:rPr>
              <w:t>0.</w:t>
            </w:r>
            <w:r>
              <w:rPr>
                <w:rFonts w:hint="eastAsia" w:ascii="Times New Roman" w:hAnsi="Times New Roman" w:eastAsia="宋体"/>
                <w:color w:val="auto"/>
                <w:sz w:val="24"/>
                <w:lang w:val="en-US" w:eastAsia="zh-CN"/>
              </w:rPr>
              <w:t>4</w:t>
            </w:r>
            <w:r>
              <w:rPr>
                <w:rFonts w:ascii="Times New Roman" w:hAnsi="Times New Roman" w:eastAsia="宋体"/>
                <w:color w:val="auto"/>
                <w:sz w:val="24"/>
              </w:rPr>
              <w:t>分。</w:t>
            </w:r>
            <w:r>
              <w:rPr>
                <w:rFonts w:ascii="Times New Roman" w:hAnsi="Times New Roman" w:eastAsia="宋体"/>
                <w:color w:val="auto"/>
                <w:sz w:val="24"/>
              </w:rPr>
              <w:br w:type="textWrapping"/>
            </w:r>
            <w:r>
              <w:rPr>
                <w:rFonts w:hint="eastAsia" w:ascii="Times New Roman" w:hAnsi="Times New Roman" w:eastAsia="宋体"/>
                <w:b/>
                <w:bCs/>
                <w:color w:val="auto"/>
                <w:sz w:val="24"/>
                <w:szCs w:val="24"/>
              </w:rPr>
              <w:t>备注</w:t>
            </w:r>
            <w:r>
              <w:rPr>
                <w:rFonts w:ascii="Times New Roman" w:hAnsi="Times New Roman" w:eastAsia="宋体"/>
                <w:b/>
                <w:bCs/>
                <w:color w:val="auto"/>
                <w:sz w:val="24"/>
                <w:szCs w:val="24"/>
              </w:rPr>
              <w:t>：</w:t>
            </w:r>
            <w:r>
              <w:rPr>
                <w:rFonts w:hint="eastAsia" w:ascii="Times New Roman" w:hAnsi="Times New Roman" w:eastAsia="宋体"/>
                <w:b/>
                <w:bCs/>
                <w:color w:val="auto"/>
                <w:sz w:val="24"/>
                <w:szCs w:val="24"/>
              </w:rPr>
              <w:t>①</w:t>
            </w:r>
            <w:r>
              <w:rPr>
                <w:rFonts w:hint="eastAsia" w:ascii="Times New Roman" w:hAnsi="Times New Roman" w:eastAsia="宋体" w:cs="宋体"/>
                <w:b/>
                <w:bCs/>
                <w:color w:val="auto"/>
                <w:sz w:val="24"/>
                <w:szCs w:val="24"/>
              </w:rPr>
              <w:t>“采购需求”“二、项目服务内容及服务要求”、“三、其他要求”中，斜体且有下划线部分为实质性要求，其余的服务要求为常规要求。</w:t>
            </w:r>
          </w:p>
          <w:p w14:paraId="36870ABA">
            <w:pPr>
              <w:widowControl/>
              <w:jc w:val="left"/>
              <w:rPr>
                <w:rFonts w:ascii="Times New Roman" w:hAnsi="Times New Roman" w:eastAsia="宋体"/>
                <w:color w:val="auto"/>
                <w:sz w:val="24"/>
                <w:szCs w:val="24"/>
              </w:rPr>
            </w:pPr>
            <w:r>
              <w:rPr>
                <w:rFonts w:hint="eastAsia" w:ascii="Times New Roman" w:hAnsi="Times New Roman" w:eastAsia="宋体"/>
                <w:b/>
                <w:bCs/>
                <w:color w:val="auto"/>
                <w:sz w:val="24"/>
                <w:szCs w:val="22"/>
              </w:rPr>
              <w:t>②</w:t>
            </w:r>
            <w:r>
              <w:rPr>
                <w:rFonts w:hint="eastAsia" w:ascii="Times New Roman" w:hAnsi="Times New Roman" w:eastAsia="宋体" w:cs="宋体"/>
                <w:b/>
                <w:bCs/>
                <w:color w:val="auto"/>
                <w:sz w:val="24"/>
                <w:szCs w:val="24"/>
              </w:rPr>
              <w:t>“采购需求”“二、项目服务内容及服务要求”“三、其他要求”中，斜体且有下划线部分</w:t>
            </w:r>
            <w:r>
              <w:rPr>
                <w:rFonts w:hint="eastAsia" w:ascii="Times New Roman" w:hAnsi="Times New Roman" w:eastAsia="宋体"/>
                <w:b/>
                <w:bCs/>
                <w:color w:val="auto"/>
                <w:sz w:val="24"/>
                <w:szCs w:val="22"/>
              </w:rPr>
              <w:t>的实质性要求</w:t>
            </w:r>
            <w:r>
              <w:rPr>
                <w:rFonts w:hint="eastAsia" w:ascii="Times New Roman" w:hAnsi="Times New Roman" w:eastAsia="宋体"/>
                <w:b/>
                <w:bCs/>
                <w:color w:val="auto"/>
                <w:sz w:val="24"/>
                <w:szCs w:val="24"/>
              </w:rPr>
              <w:t>必须满足，任何一项</w:t>
            </w:r>
            <w:r>
              <w:rPr>
                <w:rFonts w:hint="eastAsia" w:ascii="Times New Roman" w:hAnsi="Times New Roman" w:eastAsia="宋体"/>
                <w:b/>
                <w:bCs/>
                <w:color w:val="auto"/>
                <w:sz w:val="24"/>
                <w:szCs w:val="22"/>
              </w:rPr>
              <w:t>实质性要求</w:t>
            </w:r>
            <w:r>
              <w:rPr>
                <w:rFonts w:hint="eastAsia" w:ascii="Times New Roman" w:hAnsi="Times New Roman" w:eastAsia="宋体"/>
                <w:b/>
                <w:bCs/>
                <w:color w:val="auto"/>
                <w:sz w:val="24"/>
                <w:szCs w:val="24"/>
              </w:rPr>
              <w:t>未满足的，</w:t>
            </w:r>
            <w:r>
              <w:rPr>
                <w:rFonts w:hint="eastAsia" w:ascii="Times New Roman" w:hAnsi="Times New Roman" w:eastAsia="宋体" w:cs="宋体"/>
                <w:b/>
                <w:bCs/>
                <w:color w:val="auto"/>
                <w:sz w:val="24"/>
                <w:szCs w:val="24"/>
              </w:rPr>
              <w:t>将作失去磋商资格</w:t>
            </w:r>
            <w:r>
              <w:rPr>
                <w:rFonts w:hint="eastAsia" w:ascii="Times New Roman" w:hAnsi="Times New Roman" w:eastAsia="宋体"/>
                <w:b/>
                <w:bCs/>
                <w:color w:val="auto"/>
                <w:sz w:val="24"/>
                <w:szCs w:val="22"/>
              </w:rPr>
              <w:t>。</w:t>
            </w:r>
          </w:p>
        </w:tc>
      </w:tr>
      <w:tr w14:paraId="1D38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14:paraId="7D593638">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2</w:t>
            </w:r>
          </w:p>
        </w:tc>
        <w:tc>
          <w:tcPr>
            <w:tcW w:w="1935" w:type="dxa"/>
            <w:tcBorders>
              <w:top w:val="single" w:color="auto" w:sz="4" w:space="0"/>
              <w:left w:val="single" w:color="auto" w:sz="4" w:space="0"/>
              <w:bottom w:val="single" w:color="auto" w:sz="4" w:space="0"/>
              <w:right w:val="single" w:color="auto" w:sz="4" w:space="0"/>
            </w:tcBorders>
            <w:vAlign w:val="center"/>
          </w:tcPr>
          <w:p w14:paraId="6281EFD0">
            <w:pPr>
              <w:widowControl/>
              <w:jc w:val="center"/>
              <w:rPr>
                <w:rFonts w:ascii="Times New Roman" w:hAnsi="Times New Roman" w:eastAsia="宋体"/>
                <w:color w:val="auto"/>
                <w:sz w:val="24"/>
                <w:szCs w:val="24"/>
              </w:rPr>
            </w:pPr>
            <w:r>
              <w:rPr>
                <w:rFonts w:hint="eastAsia" w:ascii="Times New Roman" w:hAnsi="Times New Roman" w:eastAsia="宋体"/>
                <w:color w:val="auto"/>
                <w:sz w:val="24"/>
                <w:szCs w:val="24"/>
              </w:rPr>
              <w:t>系统业务规范理解</w:t>
            </w:r>
          </w:p>
        </w:tc>
        <w:tc>
          <w:tcPr>
            <w:tcW w:w="870" w:type="dxa"/>
            <w:tcBorders>
              <w:top w:val="single" w:color="auto" w:sz="4" w:space="0"/>
              <w:left w:val="single" w:color="auto" w:sz="4" w:space="0"/>
              <w:bottom w:val="single" w:color="auto" w:sz="4" w:space="0"/>
              <w:right w:val="single" w:color="auto" w:sz="4" w:space="0"/>
            </w:tcBorders>
            <w:vAlign w:val="center"/>
          </w:tcPr>
          <w:p w14:paraId="2DD9E6F0">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2分</w:t>
            </w:r>
          </w:p>
        </w:tc>
        <w:tc>
          <w:tcPr>
            <w:tcW w:w="5811" w:type="dxa"/>
            <w:tcBorders>
              <w:top w:val="single" w:color="auto" w:sz="4" w:space="0"/>
              <w:left w:val="single" w:color="auto" w:sz="4" w:space="0"/>
              <w:bottom w:val="single" w:color="auto" w:sz="4" w:space="0"/>
              <w:right w:val="single" w:color="auto" w:sz="4" w:space="0"/>
            </w:tcBorders>
            <w:vAlign w:val="center"/>
          </w:tcPr>
          <w:p w14:paraId="1B7D6001">
            <w:pPr>
              <w:widowControl/>
              <w:jc w:val="left"/>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根据供应商针对本项目</w:t>
            </w:r>
            <w:r>
              <w:rPr>
                <w:rFonts w:hint="eastAsia" w:ascii="Times New Roman" w:hAnsi="Times New Roman" w:eastAsia="宋体" w:cs="宋体"/>
                <w:b/>
                <w:bCs/>
                <w:color w:val="auto"/>
                <w:sz w:val="24"/>
                <w:szCs w:val="24"/>
              </w:rPr>
              <w:t>提供服务的系统总体认识和理解进行综合评定，包括但不限于项目业务需求理解、项目交付理解、承建项目的优势说明、系统说明、数据说明、数据标准说明等6项内容。</w:t>
            </w:r>
          </w:p>
          <w:p w14:paraId="33D8BF89">
            <w:pPr>
              <w:widowControl/>
              <w:jc w:val="left"/>
              <w:rPr>
                <w:rFonts w:ascii="Times New Roman" w:hAnsi="Times New Roman" w:eastAsia="宋体"/>
                <w:b/>
                <w:bCs/>
                <w:color w:val="auto"/>
                <w:sz w:val="24"/>
                <w:szCs w:val="22"/>
              </w:rPr>
            </w:pPr>
            <w:r>
              <w:rPr>
                <w:rFonts w:hint="eastAsia" w:ascii="Times New Roman" w:hAnsi="Times New Roman" w:eastAsia="宋体" w:cs="宋体"/>
                <w:color w:val="auto"/>
                <w:sz w:val="24"/>
                <w:szCs w:val="24"/>
              </w:rPr>
              <w:t>对项目需求分析、理解透彻，了解项目实际情况的得2分；对项目有一定了解，对需求情况分析有所欠缺的得1分；</w:t>
            </w:r>
            <w:r>
              <w:rPr>
                <w:rFonts w:hint="eastAsia" w:ascii="Times New Roman" w:hAnsi="Times New Roman" w:eastAsia="宋体" w:cs="宋体"/>
                <w:b/>
                <w:bCs/>
                <w:color w:val="auto"/>
                <w:sz w:val="24"/>
                <w:szCs w:val="24"/>
              </w:rPr>
              <w:t>未作说明得不得分。</w:t>
            </w:r>
          </w:p>
        </w:tc>
      </w:tr>
      <w:tr w14:paraId="1F3DD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tcBorders>
              <w:top w:val="single" w:color="auto" w:sz="4" w:space="0"/>
              <w:left w:val="single" w:color="auto" w:sz="4" w:space="0"/>
              <w:bottom w:val="single" w:color="auto" w:sz="4" w:space="0"/>
              <w:right w:val="single" w:color="auto" w:sz="4" w:space="0"/>
            </w:tcBorders>
            <w:vAlign w:val="center"/>
          </w:tcPr>
          <w:p w14:paraId="2382A160">
            <w:pPr>
              <w:widowControl/>
              <w:spacing w:line="440" w:lineRule="exact"/>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3</w:t>
            </w:r>
          </w:p>
        </w:tc>
        <w:tc>
          <w:tcPr>
            <w:tcW w:w="1935" w:type="dxa"/>
            <w:tcBorders>
              <w:top w:val="single" w:color="auto" w:sz="4" w:space="0"/>
              <w:left w:val="single" w:color="auto" w:sz="4" w:space="0"/>
              <w:bottom w:val="single" w:color="auto" w:sz="4" w:space="0"/>
              <w:right w:val="single" w:color="auto" w:sz="4" w:space="0"/>
            </w:tcBorders>
            <w:vAlign w:val="center"/>
          </w:tcPr>
          <w:p w14:paraId="6575A435">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系统逻辑框架、技术框架、数据框架理解</w:t>
            </w:r>
          </w:p>
        </w:tc>
        <w:tc>
          <w:tcPr>
            <w:tcW w:w="870" w:type="dxa"/>
            <w:tcBorders>
              <w:top w:val="single" w:color="auto" w:sz="4" w:space="0"/>
              <w:left w:val="single" w:color="auto" w:sz="4" w:space="0"/>
              <w:bottom w:val="single" w:color="auto" w:sz="4" w:space="0"/>
              <w:right w:val="single" w:color="auto" w:sz="4" w:space="0"/>
            </w:tcBorders>
            <w:vAlign w:val="center"/>
          </w:tcPr>
          <w:p w14:paraId="6D297844">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2分</w:t>
            </w:r>
          </w:p>
        </w:tc>
        <w:tc>
          <w:tcPr>
            <w:tcW w:w="5811" w:type="dxa"/>
            <w:tcBorders>
              <w:top w:val="single" w:color="auto" w:sz="4" w:space="0"/>
              <w:left w:val="single" w:color="auto" w:sz="4" w:space="0"/>
              <w:bottom w:val="single" w:color="auto" w:sz="4" w:space="0"/>
              <w:right w:val="single" w:color="auto" w:sz="4" w:space="0"/>
            </w:tcBorders>
            <w:vAlign w:val="center"/>
          </w:tcPr>
          <w:p w14:paraId="6AF7C1EF">
            <w:pP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供应商根据</w:t>
            </w:r>
            <w:r>
              <w:rPr>
                <w:rFonts w:hint="eastAsia" w:ascii="Times New Roman" w:hAnsi="Times New Roman" w:eastAsia="宋体" w:cs="宋体"/>
                <w:b/>
                <w:bCs/>
                <w:color w:val="auto"/>
                <w:sz w:val="24"/>
                <w:szCs w:val="24"/>
              </w:rPr>
              <w:t>技术标准对江苏省财政厅建设的财政预算管理一体化系统的逻辑框架、技术框架、数据框架进行阐述，包括但不限于应用架构、设计架构、开发技术选型、平台组件、应用容器、应用服务、数据逻辑设计、租户设计等8项内容。</w:t>
            </w:r>
          </w:p>
          <w:p w14:paraId="3DD7EA21">
            <w:pPr>
              <w:widowControl/>
              <w:jc w:val="left"/>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对项目系统框架熟悉，阐述详细具体、科学合理、满足项目需求实际情况的得2分；阐述内容有所欠缺的1分；</w:t>
            </w:r>
            <w:r>
              <w:rPr>
                <w:rFonts w:hint="eastAsia" w:ascii="Times New Roman" w:hAnsi="Times New Roman" w:eastAsia="宋体" w:cs="宋体"/>
                <w:b/>
                <w:bCs/>
                <w:color w:val="auto"/>
                <w:sz w:val="24"/>
                <w:szCs w:val="24"/>
              </w:rPr>
              <w:t>未作说明的本项不得分。</w:t>
            </w:r>
          </w:p>
        </w:tc>
      </w:tr>
      <w:tr w14:paraId="6D807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tcBorders>
              <w:top w:val="single" w:color="auto" w:sz="4" w:space="0"/>
              <w:left w:val="single" w:color="auto" w:sz="4" w:space="0"/>
              <w:bottom w:val="single" w:color="auto" w:sz="4" w:space="0"/>
              <w:right w:val="single" w:color="auto" w:sz="4" w:space="0"/>
            </w:tcBorders>
            <w:vAlign w:val="center"/>
          </w:tcPr>
          <w:p w14:paraId="2307F8EE">
            <w:pPr>
              <w:widowControl/>
              <w:spacing w:line="440" w:lineRule="exact"/>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4</w:t>
            </w:r>
          </w:p>
        </w:tc>
        <w:tc>
          <w:tcPr>
            <w:tcW w:w="1935" w:type="dxa"/>
            <w:tcBorders>
              <w:top w:val="single" w:color="auto" w:sz="4" w:space="0"/>
              <w:left w:val="single" w:color="auto" w:sz="4" w:space="0"/>
              <w:bottom w:val="single" w:color="auto" w:sz="4" w:space="0"/>
              <w:right w:val="single" w:color="auto" w:sz="4" w:space="0"/>
            </w:tcBorders>
            <w:vAlign w:val="center"/>
          </w:tcPr>
          <w:p w14:paraId="03E57916">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预算编制和绩效管理实施及运维方案</w:t>
            </w:r>
          </w:p>
        </w:tc>
        <w:tc>
          <w:tcPr>
            <w:tcW w:w="870" w:type="dxa"/>
            <w:tcBorders>
              <w:top w:val="single" w:color="auto" w:sz="4" w:space="0"/>
              <w:left w:val="single" w:color="auto" w:sz="4" w:space="0"/>
              <w:bottom w:val="single" w:color="auto" w:sz="4" w:space="0"/>
              <w:right w:val="single" w:color="auto" w:sz="4" w:space="0"/>
            </w:tcBorders>
            <w:vAlign w:val="center"/>
          </w:tcPr>
          <w:p w14:paraId="1563046E">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3分</w:t>
            </w:r>
          </w:p>
        </w:tc>
        <w:tc>
          <w:tcPr>
            <w:tcW w:w="5811" w:type="dxa"/>
            <w:tcBorders>
              <w:top w:val="single" w:color="auto" w:sz="4" w:space="0"/>
              <w:left w:val="single" w:color="auto" w:sz="4" w:space="0"/>
              <w:bottom w:val="single" w:color="auto" w:sz="4" w:space="0"/>
              <w:right w:val="single" w:color="auto" w:sz="4" w:space="0"/>
            </w:tcBorders>
            <w:vAlign w:val="center"/>
          </w:tcPr>
          <w:p w14:paraId="12ADB5B9">
            <w:pPr>
              <w:pStyle w:val="2"/>
              <w:ind w:firstLine="0"/>
              <w:rPr>
                <w:rFonts w:ascii="Times New Roman" w:hAnsi="Times New Roman" w:eastAsia="宋体" w:cs="宋体"/>
                <w:b/>
                <w:bCs/>
                <w:color w:val="auto"/>
                <w:spacing w:val="7"/>
                <w:sz w:val="24"/>
                <w:szCs w:val="24"/>
              </w:rPr>
            </w:pPr>
            <w:r>
              <w:rPr>
                <w:rFonts w:hint="eastAsia" w:ascii="Times New Roman" w:hAnsi="Times New Roman" w:eastAsia="宋体" w:cs="宋体"/>
                <w:color w:val="auto"/>
                <w:spacing w:val="7"/>
                <w:sz w:val="24"/>
                <w:szCs w:val="24"/>
              </w:rPr>
              <w:t>根据供应商</w:t>
            </w:r>
            <w:r>
              <w:rPr>
                <w:rFonts w:hint="eastAsia" w:ascii="Times New Roman" w:hAnsi="Times New Roman" w:eastAsia="宋体" w:cs="宋体"/>
                <w:b/>
                <w:bCs/>
                <w:color w:val="auto"/>
                <w:spacing w:val="7"/>
                <w:sz w:val="24"/>
                <w:szCs w:val="24"/>
              </w:rPr>
              <w:t>对本项目中江苏省财政预算管理一体化系统预算编制和绩效管理实施及运维方案进行综合评定，包括但不限于基础数据整理、基础信息库配置、项目库配置、预算编制配置、预算调整调剂配置、绩效管理配置、支出试算配置、报表编制等8项内容。</w:t>
            </w:r>
          </w:p>
          <w:p w14:paraId="2D2131CE">
            <w:pPr>
              <w:rPr>
                <w:rFonts w:ascii="Times New Roman" w:hAnsi="Times New Roman" w:eastAsia="宋体" w:cs="宋体"/>
                <w:color w:val="auto"/>
                <w:spacing w:val="7"/>
                <w:sz w:val="24"/>
                <w:szCs w:val="24"/>
              </w:rPr>
            </w:pPr>
            <w:r>
              <w:rPr>
                <w:rFonts w:hint="eastAsia" w:ascii="Times New Roman" w:hAnsi="Times New Roman" w:eastAsia="宋体" w:cs="宋体"/>
                <w:color w:val="auto"/>
                <w:sz w:val="24"/>
                <w:szCs w:val="24"/>
              </w:rPr>
              <w:t>阐述详细具体、科学合理、满足项目需求实际情况的得3分；阐述内容有所欠缺的1.5分；</w:t>
            </w:r>
            <w:r>
              <w:rPr>
                <w:rFonts w:hint="eastAsia" w:ascii="Times New Roman" w:hAnsi="Times New Roman" w:eastAsia="宋体" w:cs="宋体"/>
                <w:b/>
                <w:bCs/>
                <w:color w:val="auto"/>
                <w:sz w:val="24"/>
                <w:szCs w:val="24"/>
              </w:rPr>
              <w:t>未作说明的本项不得分。</w:t>
            </w:r>
          </w:p>
        </w:tc>
      </w:tr>
      <w:tr w14:paraId="4CEC6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tcBorders>
              <w:top w:val="single" w:color="auto" w:sz="4" w:space="0"/>
              <w:left w:val="single" w:color="auto" w:sz="4" w:space="0"/>
              <w:bottom w:val="single" w:color="auto" w:sz="4" w:space="0"/>
              <w:right w:val="single" w:color="auto" w:sz="4" w:space="0"/>
            </w:tcBorders>
            <w:vAlign w:val="center"/>
          </w:tcPr>
          <w:p w14:paraId="754D5E42">
            <w:pPr>
              <w:widowControl/>
              <w:spacing w:line="440" w:lineRule="exact"/>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5</w:t>
            </w:r>
          </w:p>
        </w:tc>
        <w:tc>
          <w:tcPr>
            <w:tcW w:w="1935" w:type="dxa"/>
            <w:tcBorders>
              <w:top w:val="single" w:color="auto" w:sz="4" w:space="0"/>
              <w:left w:val="single" w:color="auto" w:sz="4" w:space="0"/>
              <w:bottom w:val="single" w:color="auto" w:sz="4" w:space="0"/>
              <w:right w:val="single" w:color="auto" w:sz="4" w:space="0"/>
            </w:tcBorders>
            <w:vAlign w:val="center"/>
          </w:tcPr>
          <w:p w14:paraId="3426132C">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预算执行模块实施及运维方案</w:t>
            </w:r>
          </w:p>
        </w:tc>
        <w:tc>
          <w:tcPr>
            <w:tcW w:w="870" w:type="dxa"/>
            <w:tcBorders>
              <w:top w:val="single" w:color="auto" w:sz="4" w:space="0"/>
              <w:left w:val="single" w:color="auto" w:sz="4" w:space="0"/>
              <w:bottom w:val="single" w:color="auto" w:sz="4" w:space="0"/>
              <w:right w:val="single" w:color="auto" w:sz="4" w:space="0"/>
            </w:tcBorders>
            <w:vAlign w:val="center"/>
          </w:tcPr>
          <w:p w14:paraId="33BA48F1">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3分</w:t>
            </w:r>
          </w:p>
        </w:tc>
        <w:tc>
          <w:tcPr>
            <w:tcW w:w="5811" w:type="dxa"/>
            <w:tcBorders>
              <w:top w:val="single" w:color="auto" w:sz="4" w:space="0"/>
              <w:left w:val="single" w:color="auto" w:sz="4" w:space="0"/>
              <w:bottom w:val="single" w:color="auto" w:sz="4" w:space="0"/>
              <w:right w:val="single" w:color="auto" w:sz="4" w:space="0"/>
            </w:tcBorders>
            <w:vAlign w:val="center"/>
          </w:tcPr>
          <w:p w14:paraId="0C8D03BF">
            <w:pPr>
              <w:pStyle w:val="2"/>
              <w:ind w:firstLine="0"/>
              <w:rPr>
                <w:rFonts w:ascii="Times New Roman" w:hAnsi="Times New Roman" w:eastAsia="宋体" w:cs="宋体"/>
                <w:color w:val="auto"/>
                <w:spacing w:val="7"/>
                <w:sz w:val="24"/>
                <w:szCs w:val="24"/>
              </w:rPr>
            </w:pPr>
            <w:r>
              <w:rPr>
                <w:rFonts w:hint="eastAsia" w:ascii="Times New Roman" w:hAnsi="Times New Roman" w:eastAsia="宋体" w:cs="宋体"/>
                <w:color w:val="auto"/>
                <w:spacing w:val="7"/>
                <w:sz w:val="24"/>
                <w:szCs w:val="24"/>
              </w:rPr>
              <w:t>根据供应商对本项目中</w:t>
            </w:r>
            <w:r>
              <w:rPr>
                <w:rFonts w:hint="eastAsia" w:ascii="Times New Roman" w:hAnsi="Times New Roman" w:eastAsia="宋体" w:cs="宋体"/>
                <w:b/>
                <w:bCs/>
                <w:color w:val="auto"/>
                <w:spacing w:val="7"/>
                <w:sz w:val="24"/>
                <w:szCs w:val="24"/>
              </w:rPr>
              <w:t>江苏省财政预算管理一体化系统预算执行模块及单位财务核算平台的实施及运维方案进行综合评定，包括但不限于基础数据整理、计划支付配置、拨款配置、政府采购配置、资金动态监控配置、总会计核算配置、报表配置、账户管理配置、电子凭证库支持等9项内容</w:t>
            </w:r>
            <w:r>
              <w:rPr>
                <w:rFonts w:hint="eastAsia" w:ascii="Times New Roman" w:hAnsi="Times New Roman" w:eastAsia="宋体" w:cs="宋体"/>
                <w:color w:val="auto"/>
                <w:spacing w:val="7"/>
                <w:sz w:val="24"/>
                <w:szCs w:val="24"/>
              </w:rPr>
              <w:t>。</w:t>
            </w:r>
          </w:p>
          <w:p w14:paraId="18D560B9">
            <w:pPr>
              <w:pStyle w:val="3"/>
              <w:rPr>
                <w:rFonts w:ascii="Times New Roman" w:hAnsi="Times New Roman" w:eastAsia="宋体"/>
                <w:color w:val="auto"/>
              </w:rPr>
            </w:pPr>
            <w:r>
              <w:rPr>
                <w:rFonts w:hint="eastAsia" w:ascii="Times New Roman" w:hAnsi="Times New Roman" w:eastAsia="宋体" w:cs="宋体"/>
                <w:color w:val="auto"/>
                <w:spacing w:val="7"/>
                <w:sz w:val="24"/>
                <w:szCs w:val="24"/>
              </w:rPr>
              <w:t>阐述详细具体、科学合理、满足项目需求实际情况的得3分；阐述内容有所欠缺的1.5分；</w:t>
            </w:r>
            <w:r>
              <w:rPr>
                <w:rFonts w:hint="eastAsia" w:ascii="Times New Roman" w:hAnsi="Times New Roman" w:eastAsia="宋体" w:cs="宋体"/>
                <w:b/>
                <w:bCs/>
                <w:color w:val="auto"/>
                <w:spacing w:val="7"/>
                <w:sz w:val="24"/>
                <w:szCs w:val="24"/>
              </w:rPr>
              <w:t>未作说明的本项不得分。</w:t>
            </w:r>
          </w:p>
        </w:tc>
      </w:tr>
      <w:tr w14:paraId="4D24A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tcBorders>
              <w:top w:val="single" w:color="auto" w:sz="4" w:space="0"/>
              <w:left w:val="single" w:color="auto" w:sz="4" w:space="0"/>
              <w:bottom w:val="single" w:color="auto" w:sz="4" w:space="0"/>
              <w:right w:val="single" w:color="auto" w:sz="4" w:space="0"/>
            </w:tcBorders>
            <w:vAlign w:val="center"/>
          </w:tcPr>
          <w:p w14:paraId="23E15DBC">
            <w:pPr>
              <w:widowControl/>
              <w:spacing w:line="440" w:lineRule="exact"/>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6</w:t>
            </w:r>
          </w:p>
        </w:tc>
        <w:tc>
          <w:tcPr>
            <w:tcW w:w="1935" w:type="dxa"/>
            <w:tcBorders>
              <w:top w:val="single" w:color="auto" w:sz="4" w:space="0"/>
              <w:left w:val="single" w:color="auto" w:sz="4" w:space="0"/>
              <w:bottom w:val="single" w:color="auto" w:sz="4" w:space="0"/>
              <w:right w:val="single" w:color="auto" w:sz="4" w:space="0"/>
            </w:tcBorders>
            <w:vAlign w:val="center"/>
          </w:tcPr>
          <w:p w14:paraId="17D5BC2F">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单位财务核算平台实施及运维方案</w:t>
            </w:r>
          </w:p>
        </w:tc>
        <w:tc>
          <w:tcPr>
            <w:tcW w:w="870" w:type="dxa"/>
            <w:tcBorders>
              <w:top w:val="single" w:color="auto" w:sz="4" w:space="0"/>
              <w:left w:val="single" w:color="auto" w:sz="4" w:space="0"/>
              <w:bottom w:val="single" w:color="auto" w:sz="4" w:space="0"/>
              <w:right w:val="single" w:color="auto" w:sz="4" w:space="0"/>
            </w:tcBorders>
            <w:vAlign w:val="center"/>
          </w:tcPr>
          <w:p w14:paraId="7DA1041A">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2分</w:t>
            </w:r>
          </w:p>
        </w:tc>
        <w:tc>
          <w:tcPr>
            <w:tcW w:w="5811" w:type="dxa"/>
            <w:tcBorders>
              <w:top w:val="single" w:color="auto" w:sz="4" w:space="0"/>
              <w:left w:val="single" w:color="auto" w:sz="4" w:space="0"/>
              <w:bottom w:val="single" w:color="auto" w:sz="4" w:space="0"/>
              <w:right w:val="single" w:color="auto" w:sz="4" w:space="0"/>
            </w:tcBorders>
            <w:vAlign w:val="center"/>
          </w:tcPr>
          <w:p w14:paraId="25276005">
            <w:pPr>
              <w:pStyle w:val="2"/>
              <w:ind w:firstLine="0"/>
              <w:rPr>
                <w:rFonts w:ascii="Times New Roman" w:hAnsi="Times New Roman" w:eastAsia="宋体" w:cs="宋体"/>
                <w:color w:val="auto"/>
                <w:spacing w:val="7"/>
                <w:sz w:val="24"/>
                <w:szCs w:val="24"/>
              </w:rPr>
            </w:pPr>
            <w:r>
              <w:rPr>
                <w:rFonts w:hint="eastAsia" w:ascii="Times New Roman" w:hAnsi="Times New Roman" w:eastAsia="宋体" w:cs="宋体"/>
                <w:color w:val="auto"/>
                <w:spacing w:val="7"/>
                <w:sz w:val="24"/>
                <w:szCs w:val="24"/>
              </w:rPr>
              <w:t>根据供应商对本项目中</w:t>
            </w:r>
            <w:r>
              <w:rPr>
                <w:rFonts w:hint="eastAsia" w:ascii="Times New Roman" w:hAnsi="Times New Roman" w:eastAsia="宋体" w:cs="宋体"/>
                <w:b/>
                <w:bCs/>
                <w:color w:val="auto"/>
                <w:spacing w:val="7"/>
                <w:sz w:val="24"/>
                <w:szCs w:val="24"/>
              </w:rPr>
              <w:t>江苏省财政预算管理一体化系统中单位财务核算平台的实施及运维方案进行综合评定。</w:t>
            </w:r>
          </w:p>
          <w:p w14:paraId="729B5BFB">
            <w:pPr>
              <w:pStyle w:val="3"/>
              <w:rPr>
                <w:rFonts w:ascii="Times New Roman" w:hAnsi="Times New Roman" w:eastAsia="宋体"/>
                <w:color w:val="auto"/>
              </w:rPr>
            </w:pPr>
            <w:r>
              <w:rPr>
                <w:rFonts w:hint="eastAsia" w:ascii="Times New Roman" w:hAnsi="Times New Roman" w:eastAsia="宋体" w:cs="宋体"/>
                <w:color w:val="auto"/>
                <w:spacing w:val="7"/>
                <w:sz w:val="24"/>
                <w:szCs w:val="24"/>
              </w:rPr>
              <w:t>阐述详细具体、科学合理、满足项目需求实际情况的得2分；阐述内容有所欠缺的1分；</w:t>
            </w:r>
            <w:r>
              <w:rPr>
                <w:rFonts w:hint="eastAsia" w:ascii="Times New Roman" w:hAnsi="Times New Roman" w:eastAsia="宋体" w:cs="宋体"/>
                <w:b/>
                <w:bCs/>
                <w:color w:val="auto"/>
                <w:spacing w:val="7"/>
                <w:sz w:val="24"/>
                <w:szCs w:val="24"/>
              </w:rPr>
              <w:t>未作说明的本项不得分。</w:t>
            </w:r>
          </w:p>
        </w:tc>
      </w:tr>
      <w:tr w14:paraId="6BC90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tcBorders>
              <w:top w:val="single" w:color="auto" w:sz="4" w:space="0"/>
              <w:left w:val="single" w:color="auto" w:sz="4" w:space="0"/>
              <w:bottom w:val="single" w:color="auto" w:sz="4" w:space="0"/>
              <w:right w:val="single" w:color="auto" w:sz="4" w:space="0"/>
            </w:tcBorders>
            <w:vAlign w:val="center"/>
          </w:tcPr>
          <w:p w14:paraId="12244D3B">
            <w:pPr>
              <w:widowControl/>
              <w:spacing w:line="440" w:lineRule="exact"/>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7</w:t>
            </w:r>
          </w:p>
        </w:tc>
        <w:tc>
          <w:tcPr>
            <w:tcW w:w="1935" w:type="dxa"/>
            <w:tcBorders>
              <w:top w:val="single" w:color="auto" w:sz="4" w:space="0"/>
              <w:left w:val="single" w:color="auto" w:sz="4" w:space="0"/>
              <w:bottom w:val="single" w:color="auto" w:sz="4" w:space="0"/>
              <w:right w:val="single" w:color="auto" w:sz="4" w:space="0"/>
            </w:tcBorders>
            <w:vAlign w:val="center"/>
          </w:tcPr>
          <w:p w14:paraId="15B38B55">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常熟地区一体化实施及运维方案</w:t>
            </w:r>
          </w:p>
        </w:tc>
        <w:tc>
          <w:tcPr>
            <w:tcW w:w="870" w:type="dxa"/>
            <w:tcBorders>
              <w:top w:val="single" w:color="auto" w:sz="4" w:space="0"/>
              <w:left w:val="single" w:color="auto" w:sz="4" w:space="0"/>
              <w:bottom w:val="single" w:color="auto" w:sz="4" w:space="0"/>
              <w:right w:val="single" w:color="auto" w:sz="4" w:space="0"/>
            </w:tcBorders>
            <w:vAlign w:val="center"/>
          </w:tcPr>
          <w:p w14:paraId="23F4E684">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3分</w:t>
            </w:r>
          </w:p>
        </w:tc>
        <w:tc>
          <w:tcPr>
            <w:tcW w:w="5811" w:type="dxa"/>
            <w:tcBorders>
              <w:top w:val="single" w:color="auto" w:sz="4" w:space="0"/>
              <w:left w:val="single" w:color="auto" w:sz="4" w:space="0"/>
              <w:bottom w:val="single" w:color="auto" w:sz="4" w:space="0"/>
              <w:right w:val="single" w:color="auto" w:sz="4" w:space="0"/>
            </w:tcBorders>
            <w:vAlign w:val="center"/>
          </w:tcPr>
          <w:p w14:paraId="053C16FF">
            <w:pPr>
              <w:pStyle w:val="2"/>
              <w:ind w:firstLine="0"/>
              <w:rPr>
                <w:rFonts w:ascii="Times New Roman" w:hAnsi="Times New Roman" w:eastAsia="宋体" w:cs="宋体"/>
                <w:b/>
                <w:bCs/>
                <w:color w:val="auto"/>
                <w:spacing w:val="7"/>
                <w:sz w:val="24"/>
                <w:szCs w:val="24"/>
              </w:rPr>
            </w:pPr>
            <w:r>
              <w:rPr>
                <w:rFonts w:hint="eastAsia" w:ascii="Times New Roman" w:hAnsi="Times New Roman" w:eastAsia="宋体" w:cs="宋体"/>
                <w:color w:val="auto"/>
                <w:spacing w:val="7"/>
                <w:sz w:val="24"/>
                <w:szCs w:val="24"/>
              </w:rPr>
              <w:t>根据供应商对本项目中</w:t>
            </w:r>
            <w:r>
              <w:rPr>
                <w:rFonts w:hint="eastAsia" w:ascii="Times New Roman" w:hAnsi="Times New Roman" w:eastAsia="宋体" w:cs="宋体"/>
                <w:b/>
                <w:bCs/>
                <w:color w:val="auto"/>
                <w:spacing w:val="7"/>
                <w:sz w:val="24"/>
                <w:szCs w:val="24"/>
              </w:rPr>
              <w:t>常熟地区一体化个性化实施及运维方案进行综合评定，个性化指在省厅统一框架下，为保障常熟地区财政业务的软件运维工作及业务支持工作，包括但不限于江苏省资产云平台配置、市级收入登记及拨款功能的实现及配置、本地财务核算平台的实现及配置。</w:t>
            </w:r>
          </w:p>
          <w:p w14:paraId="6D4ADB39">
            <w:pPr>
              <w:pStyle w:val="3"/>
              <w:rPr>
                <w:rFonts w:ascii="Times New Roman" w:hAnsi="Times New Roman" w:eastAsia="宋体" w:cs="宋体"/>
                <w:color w:val="auto"/>
                <w:spacing w:val="7"/>
                <w:sz w:val="24"/>
                <w:szCs w:val="24"/>
              </w:rPr>
            </w:pPr>
            <w:r>
              <w:rPr>
                <w:rFonts w:hint="eastAsia" w:ascii="Times New Roman" w:hAnsi="Times New Roman" w:eastAsia="宋体" w:cs="宋体"/>
                <w:color w:val="auto"/>
                <w:spacing w:val="7"/>
                <w:sz w:val="24"/>
                <w:szCs w:val="24"/>
              </w:rPr>
              <w:t>阐述详细具体、科学合理、满足项目需求实际情况的得3分；阐述内容有所欠缺的1.5分；</w:t>
            </w:r>
            <w:r>
              <w:rPr>
                <w:rFonts w:hint="eastAsia" w:ascii="Times New Roman" w:hAnsi="Times New Roman" w:eastAsia="宋体" w:cs="宋体"/>
                <w:b/>
                <w:bCs/>
                <w:color w:val="auto"/>
                <w:spacing w:val="7"/>
                <w:sz w:val="24"/>
                <w:szCs w:val="24"/>
              </w:rPr>
              <w:t>未作说明的本项不得分。</w:t>
            </w:r>
          </w:p>
        </w:tc>
      </w:tr>
      <w:tr w14:paraId="466EE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7"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14:paraId="1A560F9A">
            <w:pPr>
              <w:widowControl/>
              <w:spacing w:line="440" w:lineRule="exact"/>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8</w:t>
            </w:r>
          </w:p>
        </w:tc>
        <w:tc>
          <w:tcPr>
            <w:tcW w:w="1935" w:type="dxa"/>
            <w:tcBorders>
              <w:top w:val="single" w:color="auto" w:sz="4" w:space="0"/>
              <w:left w:val="single" w:color="auto" w:sz="4" w:space="0"/>
              <w:bottom w:val="single" w:color="auto" w:sz="4" w:space="0"/>
              <w:right w:val="single" w:color="auto" w:sz="4" w:space="0"/>
            </w:tcBorders>
            <w:vAlign w:val="center"/>
          </w:tcPr>
          <w:p w14:paraId="72A1491B">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质量保证方案</w:t>
            </w:r>
          </w:p>
        </w:tc>
        <w:tc>
          <w:tcPr>
            <w:tcW w:w="870" w:type="dxa"/>
            <w:tcBorders>
              <w:top w:val="single" w:color="auto" w:sz="4" w:space="0"/>
              <w:left w:val="single" w:color="auto" w:sz="4" w:space="0"/>
              <w:bottom w:val="single" w:color="auto" w:sz="4" w:space="0"/>
              <w:right w:val="single" w:color="auto" w:sz="4" w:space="0"/>
            </w:tcBorders>
            <w:vAlign w:val="center"/>
          </w:tcPr>
          <w:p w14:paraId="307E798F">
            <w:pPr>
              <w:jc w:val="center"/>
              <w:rPr>
                <w:rFonts w:ascii="Times New Roman" w:hAnsi="Times New Roman" w:eastAsia="宋体" w:cs="宋体"/>
                <w:color w:val="auto"/>
                <w:spacing w:val="7"/>
                <w:sz w:val="24"/>
                <w:szCs w:val="24"/>
              </w:rPr>
            </w:pPr>
            <w:r>
              <w:rPr>
                <w:rFonts w:hint="eastAsia" w:ascii="Times New Roman" w:hAnsi="Times New Roman" w:eastAsia="宋体" w:cs="宋体"/>
                <w:color w:val="auto"/>
                <w:sz w:val="24"/>
                <w:szCs w:val="24"/>
              </w:rPr>
              <w:t>3分</w:t>
            </w:r>
          </w:p>
        </w:tc>
        <w:tc>
          <w:tcPr>
            <w:tcW w:w="5811" w:type="dxa"/>
            <w:tcBorders>
              <w:top w:val="single" w:color="auto" w:sz="4" w:space="0"/>
              <w:left w:val="single" w:color="auto" w:sz="4" w:space="0"/>
              <w:bottom w:val="single" w:color="auto" w:sz="4" w:space="0"/>
              <w:right w:val="single" w:color="auto" w:sz="4" w:space="0"/>
            </w:tcBorders>
            <w:vAlign w:val="center"/>
          </w:tcPr>
          <w:p w14:paraId="7F0A3A63">
            <w:pPr>
              <w:pStyle w:val="3"/>
              <w:rPr>
                <w:rFonts w:ascii="Times New Roman" w:hAnsi="Times New Roman" w:eastAsia="宋体" w:cs="宋体"/>
                <w:color w:val="auto"/>
                <w:spacing w:val="7"/>
                <w:sz w:val="24"/>
                <w:szCs w:val="24"/>
              </w:rPr>
            </w:pPr>
            <w:r>
              <w:rPr>
                <w:rFonts w:hint="eastAsia" w:ascii="Times New Roman" w:hAnsi="Times New Roman" w:eastAsia="宋体" w:cs="宋体"/>
                <w:color w:val="auto"/>
                <w:spacing w:val="7"/>
                <w:sz w:val="24"/>
                <w:szCs w:val="24"/>
              </w:rPr>
              <w:t>根据供应商提供的</w:t>
            </w:r>
            <w:r>
              <w:rPr>
                <w:rFonts w:hint="eastAsia" w:ascii="Times New Roman" w:hAnsi="Times New Roman" w:eastAsia="宋体" w:cs="宋体"/>
                <w:b/>
                <w:bCs/>
                <w:color w:val="auto"/>
                <w:spacing w:val="7"/>
                <w:sz w:val="24"/>
                <w:szCs w:val="24"/>
              </w:rPr>
              <w:t>质量保证方案，内容包括但不限于服务保障团队、项目管理、质量控制、风险管控等4个方面</w:t>
            </w:r>
            <w:r>
              <w:rPr>
                <w:rFonts w:hint="eastAsia" w:ascii="Times New Roman" w:hAnsi="Times New Roman" w:eastAsia="宋体" w:cs="宋体"/>
                <w:color w:val="auto"/>
                <w:spacing w:val="7"/>
                <w:sz w:val="24"/>
                <w:szCs w:val="24"/>
              </w:rPr>
              <w:t>进行综合评定：方案详细具体、科学合理、满足项目需求的得3分；方案有所欠缺的1.5分；</w:t>
            </w:r>
            <w:r>
              <w:rPr>
                <w:rFonts w:hint="eastAsia" w:ascii="Times New Roman" w:hAnsi="Times New Roman" w:eastAsia="宋体" w:cs="宋体"/>
                <w:b/>
                <w:bCs/>
                <w:color w:val="auto"/>
                <w:spacing w:val="7"/>
                <w:sz w:val="24"/>
                <w:szCs w:val="24"/>
              </w:rPr>
              <w:t>未作说明的本项不得分。</w:t>
            </w:r>
          </w:p>
        </w:tc>
      </w:tr>
      <w:tr w14:paraId="1CD5A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14:paraId="27A82D20">
            <w:pPr>
              <w:widowControl/>
              <w:spacing w:line="440" w:lineRule="exact"/>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9</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14:paraId="79D7F4CC">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服务管理体系</w:t>
            </w:r>
          </w:p>
        </w:tc>
        <w:tc>
          <w:tcPr>
            <w:tcW w:w="870" w:type="dxa"/>
            <w:tcBorders>
              <w:top w:val="single" w:color="auto" w:sz="4" w:space="0"/>
              <w:left w:val="single" w:color="auto" w:sz="4" w:space="0"/>
              <w:bottom w:val="single" w:color="auto" w:sz="4" w:space="0"/>
              <w:right w:val="single" w:color="auto" w:sz="4" w:space="0"/>
            </w:tcBorders>
            <w:vAlign w:val="center"/>
          </w:tcPr>
          <w:p w14:paraId="6CD71D95">
            <w:pPr>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3分</w:t>
            </w:r>
          </w:p>
        </w:tc>
        <w:tc>
          <w:tcPr>
            <w:tcW w:w="5811" w:type="dxa"/>
            <w:tcBorders>
              <w:top w:val="single" w:color="auto" w:sz="4" w:space="0"/>
              <w:left w:val="single" w:color="auto" w:sz="4" w:space="0"/>
              <w:bottom w:val="single" w:color="auto" w:sz="4" w:space="0"/>
              <w:right w:val="single" w:color="auto" w:sz="4" w:space="0"/>
            </w:tcBorders>
            <w:vAlign w:val="center"/>
          </w:tcPr>
          <w:p w14:paraId="1396D77D">
            <w:pPr>
              <w:pStyle w:val="3"/>
              <w:rPr>
                <w:rFonts w:ascii="Times New Roman" w:hAnsi="Times New Roman" w:eastAsia="宋体" w:cs="宋体"/>
                <w:color w:val="auto"/>
                <w:spacing w:val="7"/>
                <w:sz w:val="24"/>
                <w:szCs w:val="24"/>
              </w:rPr>
            </w:pPr>
            <w:r>
              <w:rPr>
                <w:rFonts w:hint="eastAsia" w:ascii="Times New Roman" w:hAnsi="Times New Roman" w:eastAsia="宋体" w:cs="宋体"/>
                <w:color w:val="auto"/>
                <w:spacing w:val="7"/>
                <w:sz w:val="24"/>
                <w:szCs w:val="24"/>
              </w:rPr>
              <w:t>根据供应商提供的</w:t>
            </w:r>
            <w:r>
              <w:rPr>
                <w:rFonts w:hint="eastAsia" w:ascii="Times New Roman" w:hAnsi="Times New Roman" w:eastAsia="宋体" w:cs="宋体"/>
                <w:b/>
                <w:bCs/>
                <w:color w:val="auto"/>
                <w:spacing w:val="7"/>
                <w:sz w:val="24"/>
                <w:szCs w:val="24"/>
              </w:rPr>
              <w:t>服务管理体系，内容包含但不限于包括组织分工、团队决策和沟通、服务团队、团队人员能力匹配等4项内容</w:t>
            </w:r>
            <w:r>
              <w:rPr>
                <w:rFonts w:hint="eastAsia" w:ascii="Times New Roman" w:hAnsi="Times New Roman" w:eastAsia="宋体" w:cs="宋体"/>
                <w:color w:val="auto"/>
                <w:spacing w:val="7"/>
                <w:sz w:val="24"/>
                <w:szCs w:val="24"/>
              </w:rPr>
              <w:t>进行综合评定：方案详细具体、科学合理、满足项目需求的得3分；方案有所欠缺的1.5分；</w:t>
            </w:r>
            <w:r>
              <w:rPr>
                <w:rFonts w:hint="eastAsia" w:ascii="Times New Roman" w:hAnsi="Times New Roman" w:eastAsia="宋体" w:cs="宋体"/>
                <w:b/>
                <w:bCs/>
                <w:color w:val="auto"/>
                <w:spacing w:val="7"/>
                <w:sz w:val="24"/>
                <w:szCs w:val="24"/>
              </w:rPr>
              <w:t>未作说明的本项不得分。</w:t>
            </w:r>
          </w:p>
        </w:tc>
      </w:tr>
      <w:tr w14:paraId="2AA62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tcBorders>
              <w:top w:val="single" w:color="auto" w:sz="4" w:space="0"/>
              <w:left w:val="single" w:color="auto" w:sz="4" w:space="0"/>
              <w:bottom w:val="single" w:color="auto" w:sz="4" w:space="0"/>
              <w:right w:val="single" w:color="auto" w:sz="4" w:space="0"/>
            </w:tcBorders>
            <w:vAlign w:val="center"/>
          </w:tcPr>
          <w:p w14:paraId="4AA9B203">
            <w:pPr>
              <w:widowControl/>
              <w:spacing w:line="440" w:lineRule="exact"/>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10</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14:paraId="6B1EF055">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现场运维服务方案</w:t>
            </w:r>
          </w:p>
        </w:tc>
        <w:tc>
          <w:tcPr>
            <w:tcW w:w="870" w:type="dxa"/>
            <w:tcBorders>
              <w:top w:val="single" w:color="auto" w:sz="4" w:space="0"/>
              <w:left w:val="single" w:color="auto" w:sz="4" w:space="0"/>
              <w:bottom w:val="single" w:color="auto" w:sz="4" w:space="0"/>
              <w:right w:val="single" w:color="auto" w:sz="4" w:space="0"/>
            </w:tcBorders>
            <w:vAlign w:val="center"/>
          </w:tcPr>
          <w:p w14:paraId="1CF6E584">
            <w:pPr>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3分</w:t>
            </w:r>
          </w:p>
        </w:tc>
        <w:tc>
          <w:tcPr>
            <w:tcW w:w="5811" w:type="dxa"/>
            <w:tcBorders>
              <w:top w:val="single" w:color="auto" w:sz="4" w:space="0"/>
              <w:left w:val="single" w:color="auto" w:sz="4" w:space="0"/>
              <w:bottom w:val="single" w:color="auto" w:sz="4" w:space="0"/>
              <w:right w:val="single" w:color="auto" w:sz="4" w:space="0"/>
            </w:tcBorders>
            <w:vAlign w:val="center"/>
          </w:tcPr>
          <w:p w14:paraId="46CFBD83">
            <w:pPr>
              <w:rPr>
                <w:rFonts w:ascii="Times New Roman" w:hAnsi="Times New Roman" w:eastAsia="宋体" w:cs="宋体"/>
                <w:color w:val="auto"/>
                <w:spacing w:val="7"/>
                <w:sz w:val="24"/>
                <w:szCs w:val="24"/>
              </w:rPr>
            </w:pPr>
            <w:r>
              <w:rPr>
                <w:rFonts w:hint="eastAsia" w:ascii="Times New Roman" w:hAnsi="Times New Roman" w:eastAsia="宋体" w:cs="宋体"/>
                <w:color w:val="auto"/>
                <w:spacing w:val="7"/>
                <w:sz w:val="24"/>
                <w:szCs w:val="24"/>
              </w:rPr>
              <w:t>根据供应商提供</w:t>
            </w:r>
            <w:r>
              <w:rPr>
                <w:rFonts w:hint="eastAsia" w:ascii="Times New Roman" w:hAnsi="Times New Roman" w:eastAsia="宋体" w:cs="宋体"/>
                <w:b/>
                <w:bCs/>
                <w:color w:val="auto"/>
                <w:spacing w:val="7"/>
                <w:sz w:val="24"/>
                <w:szCs w:val="24"/>
              </w:rPr>
              <w:t>的现场运维服务方案，内容包括但不局限于现场服务、电话服务、故障响应时间、驻场服务人员等4项内容</w:t>
            </w:r>
            <w:r>
              <w:rPr>
                <w:rFonts w:hint="eastAsia" w:ascii="Times New Roman" w:hAnsi="Times New Roman" w:eastAsia="宋体" w:cs="宋体"/>
                <w:color w:val="auto"/>
                <w:spacing w:val="7"/>
                <w:sz w:val="24"/>
                <w:szCs w:val="24"/>
              </w:rPr>
              <w:t>，进行综合评定，方案详细具体、科学合理、满足项目需求的得3分；方案有所欠缺的1.5分；</w:t>
            </w:r>
            <w:r>
              <w:rPr>
                <w:rFonts w:hint="eastAsia" w:ascii="Times New Roman" w:hAnsi="Times New Roman" w:eastAsia="宋体" w:cs="宋体"/>
                <w:b/>
                <w:bCs/>
                <w:color w:val="auto"/>
                <w:spacing w:val="7"/>
                <w:sz w:val="24"/>
                <w:szCs w:val="24"/>
              </w:rPr>
              <w:t>未作说明的本项不得分。</w:t>
            </w:r>
          </w:p>
        </w:tc>
      </w:tr>
      <w:tr w14:paraId="2DD56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tcBorders>
              <w:top w:val="single" w:color="auto" w:sz="4" w:space="0"/>
              <w:left w:val="single" w:color="auto" w:sz="4" w:space="0"/>
              <w:bottom w:val="single" w:color="auto" w:sz="4" w:space="0"/>
              <w:right w:val="single" w:color="auto" w:sz="4" w:space="0"/>
            </w:tcBorders>
            <w:vAlign w:val="center"/>
          </w:tcPr>
          <w:p w14:paraId="43F87450">
            <w:pPr>
              <w:widowControl/>
              <w:spacing w:line="440" w:lineRule="exact"/>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11</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14:paraId="2D92F7FB">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安全保障方案</w:t>
            </w:r>
          </w:p>
        </w:tc>
        <w:tc>
          <w:tcPr>
            <w:tcW w:w="870" w:type="dxa"/>
            <w:tcBorders>
              <w:top w:val="single" w:color="auto" w:sz="4" w:space="0"/>
              <w:left w:val="single" w:color="auto" w:sz="4" w:space="0"/>
              <w:bottom w:val="single" w:color="auto" w:sz="4" w:space="0"/>
              <w:right w:val="single" w:color="auto" w:sz="4" w:space="0"/>
            </w:tcBorders>
            <w:vAlign w:val="center"/>
          </w:tcPr>
          <w:p w14:paraId="7A4026A1">
            <w:pPr>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2分</w:t>
            </w:r>
          </w:p>
        </w:tc>
        <w:tc>
          <w:tcPr>
            <w:tcW w:w="5811" w:type="dxa"/>
            <w:tcBorders>
              <w:top w:val="single" w:color="auto" w:sz="4" w:space="0"/>
              <w:left w:val="single" w:color="auto" w:sz="4" w:space="0"/>
              <w:bottom w:val="single" w:color="auto" w:sz="4" w:space="0"/>
              <w:right w:val="single" w:color="auto" w:sz="4" w:space="0"/>
            </w:tcBorders>
            <w:vAlign w:val="center"/>
          </w:tcPr>
          <w:p w14:paraId="0A16F583">
            <w:pPr>
              <w:rPr>
                <w:rFonts w:ascii="Times New Roman" w:hAnsi="Times New Roman" w:eastAsia="宋体" w:cs="宋体"/>
                <w:color w:val="auto"/>
                <w:spacing w:val="7"/>
                <w:sz w:val="24"/>
                <w:szCs w:val="24"/>
              </w:rPr>
            </w:pPr>
            <w:r>
              <w:rPr>
                <w:rFonts w:hint="eastAsia" w:ascii="Times New Roman" w:hAnsi="Times New Roman" w:eastAsia="宋体" w:cs="宋体"/>
                <w:color w:val="auto"/>
                <w:spacing w:val="7"/>
                <w:sz w:val="24"/>
                <w:szCs w:val="24"/>
              </w:rPr>
              <w:t>根据供应商提供的</w:t>
            </w:r>
            <w:r>
              <w:rPr>
                <w:rFonts w:hint="eastAsia" w:ascii="Times New Roman" w:hAnsi="Times New Roman" w:eastAsia="宋体" w:cs="宋体"/>
                <w:b/>
                <w:bCs/>
                <w:color w:val="auto"/>
                <w:spacing w:val="7"/>
                <w:sz w:val="24"/>
                <w:szCs w:val="24"/>
              </w:rPr>
              <w:t>系统安全保障方案，内容包括但不局限于安全运维、技术安全防护、信息保密、交接管理等4项内容</w:t>
            </w:r>
            <w:r>
              <w:rPr>
                <w:rFonts w:hint="eastAsia" w:ascii="Times New Roman" w:hAnsi="Times New Roman" w:eastAsia="宋体" w:cs="宋体"/>
                <w:color w:val="auto"/>
                <w:spacing w:val="7"/>
                <w:sz w:val="24"/>
                <w:szCs w:val="24"/>
              </w:rPr>
              <w:t>，进行综合评定：方案详细具体、科学合理、满足项目需求的得2分；方案有所欠缺的1分；</w:t>
            </w:r>
            <w:r>
              <w:rPr>
                <w:rFonts w:hint="eastAsia" w:ascii="Times New Roman" w:hAnsi="Times New Roman" w:eastAsia="宋体" w:cs="宋体"/>
                <w:b/>
                <w:bCs/>
                <w:color w:val="auto"/>
                <w:spacing w:val="7"/>
                <w:sz w:val="24"/>
                <w:szCs w:val="24"/>
              </w:rPr>
              <w:t>未作说明的本项不得分。</w:t>
            </w:r>
          </w:p>
        </w:tc>
      </w:tr>
      <w:tr w14:paraId="17686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tcBorders>
              <w:top w:val="single" w:color="auto" w:sz="4" w:space="0"/>
              <w:left w:val="single" w:color="auto" w:sz="4" w:space="0"/>
              <w:bottom w:val="single" w:color="auto" w:sz="4" w:space="0"/>
              <w:right w:val="single" w:color="auto" w:sz="4" w:space="0"/>
            </w:tcBorders>
            <w:vAlign w:val="center"/>
          </w:tcPr>
          <w:p w14:paraId="6E2B06A3">
            <w:pPr>
              <w:widowControl/>
              <w:spacing w:line="440" w:lineRule="exact"/>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12</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14:paraId="03AA834B">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应急预案</w:t>
            </w:r>
          </w:p>
        </w:tc>
        <w:tc>
          <w:tcPr>
            <w:tcW w:w="870" w:type="dxa"/>
            <w:tcBorders>
              <w:top w:val="single" w:color="auto" w:sz="4" w:space="0"/>
              <w:left w:val="single" w:color="auto" w:sz="4" w:space="0"/>
              <w:bottom w:val="single" w:color="auto" w:sz="4" w:space="0"/>
              <w:right w:val="single" w:color="auto" w:sz="4" w:space="0"/>
            </w:tcBorders>
            <w:vAlign w:val="center"/>
          </w:tcPr>
          <w:p w14:paraId="3F7B9343">
            <w:pPr>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2分</w:t>
            </w:r>
          </w:p>
        </w:tc>
        <w:tc>
          <w:tcPr>
            <w:tcW w:w="5811" w:type="dxa"/>
            <w:tcBorders>
              <w:top w:val="single" w:color="auto" w:sz="4" w:space="0"/>
              <w:left w:val="single" w:color="auto" w:sz="4" w:space="0"/>
              <w:bottom w:val="single" w:color="auto" w:sz="4" w:space="0"/>
              <w:right w:val="single" w:color="auto" w:sz="4" w:space="0"/>
            </w:tcBorders>
            <w:vAlign w:val="center"/>
          </w:tcPr>
          <w:p w14:paraId="02CD41F7">
            <w:pPr>
              <w:rPr>
                <w:rFonts w:ascii="Times New Roman" w:hAnsi="Times New Roman" w:eastAsia="宋体" w:cs="宋体"/>
                <w:color w:val="auto"/>
                <w:spacing w:val="7"/>
                <w:sz w:val="24"/>
                <w:szCs w:val="24"/>
              </w:rPr>
            </w:pPr>
            <w:r>
              <w:rPr>
                <w:rFonts w:hint="eastAsia" w:ascii="Times New Roman" w:hAnsi="Times New Roman" w:eastAsia="宋体" w:cs="宋体"/>
                <w:color w:val="auto"/>
                <w:spacing w:val="7"/>
                <w:sz w:val="24"/>
                <w:szCs w:val="24"/>
              </w:rPr>
              <w:t>根据供应商提供的</w:t>
            </w:r>
            <w:r>
              <w:rPr>
                <w:rFonts w:hint="eastAsia" w:ascii="Times New Roman" w:hAnsi="Times New Roman" w:eastAsia="宋体" w:cs="宋体"/>
                <w:b/>
                <w:bCs/>
                <w:color w:val="auto"/>
                <w:spacing w:val="7"/>
                <w:sz w:val="24"/>
                <w:szCs w:val="24"/>
              </w:rPr>
              <w:t>应急预案，包括但不局限于降低系统运行风险、保障业务高峰期内系统平稳运行等内容</w:t>
            </w:r>
            <w:r>
              <w:rPr>
                <w:rFonts w:hint="eastAsia" w:ascii="Times New Roman" w:hAnsi="Times New Roman" w:eastAsia="宋体" w:cs="宋体"/>
                <w:color w:val="auto"/>
                <w:spacing w:val="7"/>
                <w:sz w:val="24"/>
                <w:szCs w:val="24"/>
              </w:rPr>
              <w:t>，进行综合评定：方案详细具体、科学合理、满足项目需求的得2分；方案有所欠缺的1分；</w:t>
            </w:r>
            <w:r>
              <w:rPr>
                <w:rFonts w:hint="eastAsia" w:ascii="Times New Roman" w:hAnsi="Times New Roman" w:eastAsia="宋体" w:cs="宋体"/>
                <w:b/>
                <w:bCs/>
                <w:color w:val="auto"/>
                <w:spacing w:val="7"/>
                <w:sz w:val="24"/>
                <w:szCs w:val="24"/>
              </w:rPr>
              <w:t>未作说明的本项不得分。</w:t>
            </w:r>
          </w:p>
        </w:tc>
      </w:tr>
      <w:tr w14:paraId="4766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tcBorders>
              <w:top w:val="single" w:color="auto" w:sz="4" w:space="0"/>
              <w:left w:val="single" w:color="auto" w:sz="4" w:space="0"/>
              <w:bottom w:val="single" w:color="auto" w:sz="4" w:space="0"/>
              <w:right w:val="single" w:color="auto" w:sz="4" w:space="0"/>
            </w:tcBorders>
            <w:vAlign w:val="center"/>
          </w:tcPr>
          <w:p w14:paraId="1B02A972">
            <w:pPr>
              <w:widowControl/>
              <w:spacing w:line="440" w:lineRule="exact"/>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13</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14:paraId="502B3190">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系统培训方案</w:t>
            </w:r>
          </w:p>
        </w:tc>
        <w:tc>
          <w:tcPr>
            <w:tcW w:w="870" w:type="dxa"/>
            <w:tcBorders>
              <w:top w:val="single" w:color="auto" w:sz="4" w:space="0"/>
              <w:left w:val="single" w:color="auto" w:sz="4" w:space="0"/>
              <w:bottom w:val="single" w:color="auto" w:sz="4" w:space="0"/>
              <w:right w:val="single" w:color="auto" w:sz="4" w:space="0"/>
            </w:tcBorders>
            <w:vAlign w:val="center"/>
          </w:tcPr>
          <w:p w14:paraId="24192F2A">
            <w:pPr>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2分</w:t>
            </w:r>
          </w:p>
        </w:tc>
        <w:tc>
          <w:tcPr>
            <w:tcW w:w="5811" w:type="dxa"/>
            <w:tcBorders>
              <w:top w:val="single" w:color="auto" w:sz="4" w:space="0"/>
              <w:left w:val="single" w:color="auto" w:sz="4" w:space="0"/>
              <w:bottom w:val="single" w:color="auto" w:sz="4" w:space="0"/>
              <w:right w:val="single" w:color="auto" w:sz="4" w:space="0"/>
            </w:tcBorders>
            <w:vAlign w:val="center"/>
          </w:tcPr>
          <w:p w14:paraId="75332D87">
            <w:pPr>
              <w:rPr>
                <w:rFonts w:ascii="Times New Roman" w:hAnsi="Times New Roman" w:eastAsia="宋体" w:cs="宋体"/>
                <w:color w:val="auto"/>
                <w:spacing w:val="7"/>
                <w:sz w:val="24"/>
                <w:szCs w:val="24"/>
              </w:rPr>
            </w:pPr>
            <w:r>
              <w:rPr>
                <w:rFonts w:hint="eastAsia" w:ascii="Times New Roman" w:hAnsi="Times New Roman" w:eastAsia="宋体" w:cs="宋体"/>
                <w:color w:val="auto"/>
                <w:spacing w:val="7"/>
                <w:sz w:val="24"/>
                <w:szCs w:val="24"/>
              </w:rPr>
              <w:t>根据供应商提供的</w:t>
            </w:r>
            <w:r>
              <w:rPr>
                <w:rFonts w:hint="eastAsia" w:ascii="Times New Roman" w:hAnsi="Times New Roman" w:eastAsia="宋体" w:cs="宋体"/>
                <w:b/>
                <w:bCs/>
                <w:color w:val="auto"/>
                <w:spacing w:val="7"/>
                <w:sz w:val="24"/>
                <w:szCs w:val="24"/>
              </w:rPr>
              <w:t>系统培训方案，包括但不局限于对系统用户提供咨询、操作指导和培训服务等内容</w:t>
            </w:r>
            <w:r>
              <w:rPr>
                <w:rFonts w:hint="eastAsia" w:ascii="Times New Roman" w:hAnsi="Times New Roman" w:eastAsia="宋体" w:cs="宋体"/>
                <w:color w:val="auto"/>
                <w:spacing w:val="7"/>
                <w:sz w:val="24"/>
                <w:szCs w:val="24"/>
              </w:rPr>
              <w:t>，进行综合评定：方案详细具体、科学合理、满足项目需求的得2分；方案有所欠缺的1分；</w:t>
            </w:r>
            <w:r>
              <w:rPr>
                <w:rFonts w:hint="eastAsia" w:ascii="Times New Roman" w:hAnsi="Times New Roman" w:eastAsia="宋体" w:cs="宋体"/>
                <w:b/>
                <w:bCs/>
                <w:color w:val="auto"/>
                <w:spacing w:val="7"/>
                <w:sz w:val="24"/>
                <w:szCs w:val="24"/>
              </w:rPr>
              <w:t>未作说明的本项不得分。</w:t>
            </w:r>
          </w:p>
        </w:tc>
      </w:tr>
    </w:tbl>
    <w:p w14:paraId="4654BAFE">
      <w:pPr>
        <w:numPr>
          <w:ilvl w:val="0"/>
          <w:numId w:val="5"/>
        </w:numPr>
        <w:spacing w:line="440" w:lineRule="exact"/>
        <w:ind w:firstLine="482" w:firstLineChars="200"/>
        <w:rPr>
          <w:rFonts w:cs="宋体"/>
          <w:b/>
          <w:bCs/>
          <w:color w:val="auto"/>
          <w:sz w:val="24"/>
          <w:szCs w:val="24"/>
        </w:rPr>
      </w:pPr>
      <w:r>
        <w:rPr>
          <w:rFonts w:hint="eastAsia"/>
          <w:b/>
          <w:bCs/>
          <w:color w:val="auto"/>
          <w:sz w:val="24"/>
        </w:rPr>
        <w:t>商务部分40</w:t>
      </w:r>
      <w:r>
        <w:rPr>
          <w:b/>
          <w:bCs/>
          <w:color w:val="auto"/>
          <w:sz w:val="24"/>
        </w:rPr>
        <w:t>分</w:t>
      </w:r>
    </w:p>
    <w:tbl>
      <w:tblPr>
        <w:tblStyle w:val="57"/>
        <w:tblW w:w="9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1920"/>
        <w:gridCol w:w="870"/>
        <w:gridCol w:w="5735"/>
      </w:tblGrid>
      <w:tr w14:paraId="43B78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09" w:type="dxa"/>
            <w:vAlign w:val="center"/>
          </w:tcPr>
          <w:p w14:paraId="3B968F5F">
            <w:pPr>
              <w:spacing w:line="440" w:lineRule="exact"/>
              <w:jc w:val="center"/>
              <w:rPr>
                <w:rFonts w:ascii="Times New Roman" w:hAnsi="Times New Roman" w:eastAsia="宋体"/>
                <w:b/>
                <w:bCs/>
                <w:color w:val="auto"/>
                <w:sz w:val="24"/>
                <w:szCs w:val="24"/>
              </w:rPr>
            </w:pPr>
            <w:r>
              <w:rPr>
                <w:rFonts w:hint="eastAsia" w:ascii="Times New Roman" w:hAnsi="Times New Roman" w:eastAsia="宋体"/>
                <w:b/>
                <w:bCs/>
                <w:color w:val="auto"/>
                <w:sz w:val="24"/>
                <w:szCs w:val="24"/>
              </w:rPr>
              <w:t>序号</w:t>
            </w:r>
          </w:p>
        </w:tc>
        <w:tc>
          <w:tcPr>
            <w:tcW w:w="1920" w:type="dxa"/>
            <w:vAlign w:val="center"/>
          </w:tcPr>
          <w:p w14:paraId="1A06F4F9">
            <w:pPr>
              <w:spacing w:line="440" w:lineRule="exact"/>
              <w:jc w:val="center"/>
              <w:rPr>
                <w:rFonts w:ascii="Times New Roman" w:hAnsi="Times New Roman" w:eastAsia="宋体"/>
                <w:b/>
                <w:bCs/>
                <w:color w:val="auto"/>
                <w:sz w:val="24"/>
                <w:szCs w:val="24"/>
              </w:rPr>
            </w:pPr>
            <w:r>
              <w:rPr>
                <w:rFonts w:hint="eastAsia" w:ascii="Times New Roman" w:hAnsi="Times New Roman" w:eastAsia="宋体"/>
                <w:b/>
                <w:bCs/>
                <w:color w:val="auto"/>
                <w:sz w:val="24"/>
                <w:szCs w:val="24"/>
              </w:rPr>
              <w:t>评审因素</w:t>
            </w:r>
          </w:p>
        </w:tc>
        <w:tc>
          <w:tcPr>
            <w:tcW w:w="870" w:type="dxa"/>
            <w:vAlign w:val="center"/>
          </w:tcPr>
          <w:p w14:paraId="17F0B68C">
            <w:pPr>
              <w:spacing w:line="440" w:lineRule="exact"/>
              <w:jc w:val="center"/>
              <w:rPr>
                <w:rFonts w:ascii="Times New Roman" w:hAnsi="Times New Roman" w:eastAsia="宋体"/>
                <w:b/>
                <w:bCs/>
                <w:color w:val="auto"/>
                <w:sz w:val="24"/>
                <w:szCs w:val="24"/>
              </w:rPr>
            </w:pPr>
            <w:r>
              <w:rPr>
                <w:rFonts w:hint="eastAsia" w:ascii="Times New Roman" w:hAnsi="Times New Roman" w:eastAsia="宋体"/>
                <w:b/>
                <w:bCs/>
                <w:color w:val="auto"/>
                <w:sz w:val="24"/>
                <w:szCs w:val="24"/>
              </w:rPr>
              <w:t>权值</w:t>
            </w:r>
          </w:p>
        </w:tc>
        <w:tc>
          <w:tcPr>
            <w:tcW w:w="5735" w:type="dxa"/>
            <w:vAlign w:val="center"/>
          </w:tcPr>
          <w:p w14:paraId="0897D448">
            <w:pPr>
              <w:spacing w:line="440" w:lineRule="exact"/>
              <w:jc w:val="center"/>
              <w:rPr>
                <w:rFonts w:ascii="Times New Roman" w:hAnsi="Times New Roman" w:eastAsia="宋体"/>
                <w:b/>
                <w:bCs/>
                <w:color w:val="auto"/>
                <w:sz w:val="24"/>
                <w:szCs w:val="24"/>
              </w:rPr>
            </w:pPr>
            <w:r>
              <w:rPr>
                <w:rFonts w:hint="eastAsia" w:ascii="Times New Roman" w:hAnsi="Times New Roman" w:eastAsia="宋体"/>
                <w:b/>
                <w:bCs/>
                <w:color w:val="auto"/>
                <w:sz w:val="24"/>
                <w:szCs w:val="24"/>
              </w:rPr>
              <w:t>评分标准</w:t>
            </w:r>
          </w:p>
        </w:tc>
      </w:tr>
      <w:tr w14:paraId="018C8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8" w:hRule="atLeast"/>
          <w:jc w:val="center"/>
        </w:trPr>
        <w:tc>
          <w:tcPr>
            <w:tcW w:w="909" w:type="dxa"/>
            <w:vAlign w:val="center"/>
          </w:tcPr>
          <w:p w14:paraId="723152CE">
            <w:pPr>
              <w:widowControl/>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1</w:t>
            </w:r>
          </w:p>
        </w:tc>
        <w:tc>
          <w:tcPr>
            <w:tcW w:w="1920" w:type="dxa"/>
            <w:vAlign w:val="center"/>
          </w:tcPr>
          <w:p w14:paraId="69429EC5">
            <w:pPr>
              <w:adjustRightInd w:val="0"/>
              <w:snapToGrid w:val="0"/>
              <w:jc w:val="center"/>
              <w:rPr>
                <w:rFonts w:ascii="Times New Roman" w:hAnsi="Times New Roman" w:eastAsia="宋体" w:cs="宋体"/>
                <w:color w:val="auto"/>
                <w:sz w:val="24"/>
              </w:rPr>
            </w:pPr>
            <w:r>
              <w:rPr>
                <w:rFonts w:hint="eastAsia" w:ascii="Times New Roman" w:hAnsi="Times New Roman" w:eastAsia="宋体" w:cs="宋体"/>
                <w:color w:val="auto"/>
                <w:sz w:val="24"/>
              </w:rPr>
              <w:t>项目经理配备情况</w:t>
            </w:r>
          </w:p>
        </w:tc>
        <w:tc>
          <w:tcPr>
            <w:tcW w:w="870" w:type="dxa"/>
            <w:vAlign w:val="center"/>
          </w:tcPr>
          <w:p w14:paraId="3BD1E82C">
            <w:pPr>
              <w:jc w:val="center"/>
              <w:rPr>
                <w:rFonts w:ascii="Times New Roman" w:hAnsi="Times New Roman" w:eastAsia="宋体" w:cs="宋体"/>
                <w:color w:val="auto"/>
                <w:sz w:val="24"/>
                <w:szCs w:val="24"/>
              </w:rPr>
            </w:pPr>
            <w:r>
              <w:rPr>
                <w:rFonts w:ascii="Times New Roman" w:hAnsi="Times New Roman" w:eastAsia="宋体" w:cs="宋体"/>
                <w:color w:val="auto"/>
                <w:sz w:val="24"/>
                <w:szCs w:val="24"/>
              </w:rPr>
              <w:t>6分</w:t>
            </w:r>
          </w:p>
        </w:tc>
        <w:tc>
          <w:tcPr>
            <w:tcW w:w="5735" w:type="dxa"/>
            <w:vAlign w:val="center"/>
          </w:tcPr>
          <w:p w14:paraId="7EC4BC71">
            <w:pPr>
              <w:jc w:val="left"/>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根据供应商为本项目拟派</w:t>
            </w:r>
            <w:r>
              <w:rPr>
                <w:rFonts w:ascii="Times New Roman" w:hAnsi="Times New Roman" w:eastAsia="宋体" w:cs="宋体"/>
                <w:color w:val="auto"/>
                <w:sz w:val="24"/>
                <w:szCs w:val="24"/>
              </w:rPr>
              <w:t>项目</w:t>
            </w:r>
            <w:r>
              <w:rPr>
                <w:rFonts w:hint="eastAsia" w:ascii="Times New Roman" w:hAnsi="Times New Roman" w:eastAsia="宋体" w:cs="宋体"/>
                <w:color w:val="auto"/>
                <w:sz w:val="24"/>
                <w:szCs w:val="24"/>
              </w:rPr>
              <w:t>经理</w:t>
            </w:r>
            <w:r>
              <w:rPr>
                <w:rFonts w:ascii="Times New Roman" w:hAnsi="Times New Roman" w:eastAsia="宋体" w:cs="宋体"/>
                <w:color w:val="auto"/>
                <w:sz w:val="24"/>
                <w:szCs w:val="24"/>
              </w:rPr>
              <w:t>（1人）情况进行评分：</w:t>
            </w:r>
          </w:p>
          <w:p w14:paraId="5C7E40CC">
            <w:pPr>
              <w:jc w:val="left"/>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项目经理具有与本项目相关项目管理经验（须包含预算编制、预算绩效、预算执行板块等部分或全部功能）的得</w:t>
            </w:r>
            <w:r>
              <w:rPr>
                <w:rFonts w:ascii="Times New Roman" w:hAnsi="Times New Roman" w:eastAsia="宋体" w:cs="宋体"/>
                <w:color w:val="auto"/>
                <w:sz w:val="24"/>
                <w:szCs w:val="24"/>
              </w:rPr>
              <w:t>6分</w:t>
            </w:r>
            <w:r>
              <w:rPr>
                <w:rFonts w:hint="eastAsia" w:ascii="Times New Roman" w:hAnsi="Times New Roman" w:eastAsia="宋体" w:cs="宋体"/>
                <w:color w:val="auto"/>
                <w:sz w:val="24"/>
                <w:szCs w:val="24"/>
              </w:rPr>
              <w:t>，</w:t>
            </w:r>
            <w:r>
              <w:rPr>
                <w:rFonts w:ascii="Times New Roman" w:hAnsi="Times New Roman" w:eastAsia="宋体" w:cs="宋体"/>
                <w:b/>
                <w:color w:val="auto"/>
                <w:sz w:val="24"/>
                <w:szCs w:val="24"/>
              </w:rPr>
              <w:t>未提供不得分</w:t>
            </w:r>
            <w:r>
              <w:rPr>
                <w:rFonts w:hint="eastAsia" w:ascii="Times New Roman" w:hAnsi="Times New Roman" w:eastAsia="宋体" w:cs="宋体"/>
                <w:b/>
                <w:color w:val="auto"/>
                <w:sz w:val="24"/>
                <w:szCs w:val="24"/>
              </w:rPr>
              <w:t>。</w:t>
            </w:r>
          </w:p>
          <w:p w14:paraId="7288B4CA">
            <w:pPr>
              <w:jc w:val="left"/>
              <w:rPr>
                <w:rFonts w:ascii="Times New Roman" w:hAnsi="Times New Roman" w:eastAsia="宋体" w:cs="宋体"/>
                <w:color w:val="auto"/>
                <w:sz w:val="24"/>
                <w:szCs w:val="24"/>
              </w:rPr>
            </w:pPr>
            <w:r>
              <w:rPr>
                <w:rFonts w:hint="eastAsia" w:ascii="Times New Roman" w:hAnsi="Times New Roman" w:eastAsia="宋体" w:cs="宋体"/>
                <w:b/>
                <w:color w:val="auto"/>
                <w:sz w:val="24"/>
                <w:szCs w:val="24"/>
              </w:rPr>
              <w:t>注：响应文件中需提供相关证明材料（项目管理经验证明材料需由项目建设单位出具，内容应包括：项目名称、建设内容、担任职务等）扫描件以及供应商为其缴纳的近三个月内任意一个月的社保证明材料扫描件，未提供或未按要求提供的不得分。</w:t>
            </w:r>
          </w:p>
        </w:tc>
      </w:tr>
      <w:tr w14:paraId="19421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3" w:hRule="atLeast"/>
          <w:jc w:val="center"/>
        </w:trPr>
        <w:tc>
          <w:tcPr>
            <w:tcW w:w="909" w:type="dxa"/>
            <w:vAlign w:val="center"/>
          </w:tcPr>
          <w:p w14:paraId="07D7C4C5">
            <w:pPr>
              <w:widowControl/>
              <w:spacing w:line="440" w:lineRule="exact"/>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2</w:t>
            </w:r>
          </w:p>
        </w:tc>
        <w:tc>
          <w:tcPr>
            <w:tcW w:w="1920" w:type="dxa"/>
            <w:vAlign w:val="center"/>
          </w:tcPr>
          <w:p w14:paraId="7BA46745">
            <w:pPr>
              <w:adjustRightInd w:val="0"/>
              <w:snapToGrid w:val="0"/>
              <w:jc w:val="center"/>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项目组成员情况</w:t>
            </w:r>
          </w:p>
        </w:tc>
        <w:tc>
          <w:tcPr>
            <w:tcW w:w="870" w:type="dxa"/>
            <w:vAlign w:val="center"/>
          </w:tcPr>
          <w:p w14:paraId="6D1AC620">
            <w:pPr>
              <w:adjustRightInd w:val="0"/>
              <w:snapToGrid w:val="0"/>
              <w:jc w:val="center"/>
              <w:rPr>
                <w:rFonts w:ascii="Times New Roman" w:hAnsi="Times New Roman" w:eastAsia="宋体"/>
                <w:color w:val="auto"/>
              </w:rPr>
            </w:pPr>
            <w:r>
              <w:rPr>
                <w:rFonts w:ascii="Times New Roman" w:hAnsi="Times New Roman" w:eastAsia="宋体" w:cs="宋体"/>
                <w:color w:val="auto"/>
                <w:sz w:val="24"/>
                <w:szCs w:val="24"/>
              </w:rPr>
              <w:t>18</w:t>
            </w:r>
            <w:r>
              <w:rPr>
                <w:rFonts w:hint="eastAsia" w:ascii="Times New Roman" w:hAnsi="Times New Roman" w:eastAsia="宋体" w:cs="宋体"/>
                <w:color w:val="auto"/>
                <w:sz w:val="24"/>
                <w:szCs w:val="24"/>
              </w:rPr>
              <w:t>分</w:t>
            </w:r>
          </w:p>
        </w:tc>
        <w:tc>
          <w:tcPr>
            <w:tcW w:w="5735" w:type="dxa"/>
            <w:vAlign w:val="center"/>
          </w:tcPr>
          <w:p w14:paraId="372FAC31">
            <w:pPr>
              <w:jc w:val="left"/>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根据供应商为本项目拟派项目组成员情况</w:t>
            </w:r>
            <w:r>
              <w:rPr>
                <w:rFonts w:ascii="Times New Roman" w:hAnsi="Times New Roman" w:eastAsia="宋体" w:cs="宋体"/>
                <w:color w:val="auto"/>
                <w:sz w:val="24"/>
                <w:szCs w:val="24"/>
              </w:rPr>
              <w:t>（</w:t>
            </w:r>
            <w:r>
              <w:rPr>
                <w:rFonts w:hint="eastAsia" w:ascii="Times New Roman" w:hAnsi="Times New Roman" w:eastAsia="宋体" w:cs="宋体"/>
                <w:color w:val="auto"/>
                <w:sz w:val="24"/>
                <w:szCs w:val="24"/>
              </w:rPr>
              <w:t>项目</w:t>
            </w:r>
            <w:r>
              <w:rPr>
                <w:rFonts w:hint="eastAsia" w:cs="宋体"/>
                <w:color w:val="auto"/>
                <w:sz w:val="24"/>
                <w:szCs w:val="24"/>
                <w:lang w:val="en-US" w:eastAsia="zh-CN"/>
              </w:rPr>
              <w:t>经理</w:t>
            </w:r>
            <w:r>
              <w:rPr>
                <w:rFonts w:hint="eastAsia" w:ascii="Times New Roman" w:hAnsi="Times New Roman" w:eastAsia="宋体" w:cs="宋体"/>
                <w:color w:val="auto"/>
                <w:sz w:val="24"/>
                <w:szCs w:val="24"/>
              </w:rPr>
              <w:t>除外</w:t>
            </w:r>
            <w:r>
              <w:rPr>
                <w:rFonts w:ascii="Times New Roman" w:hAnsi="Times New Roman" w:eastAsia="宋体" w:cs="宋体"/>
                <w:color w:val="auto"/>
                <w:sz w:val="24"/>
                <w:szCs w:val="24"/>
              </w:rPr>
              <w:t>）情况进行评分：</w:t>
            </w:r>
          </w:p>
          <w:p w14:paraId="3AEDA34D">
            <w:pPr>
              <w:pStyle w:val="2"/>
              <w:ind w:firstLine="0"/>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（1）具有高级信息系统项目管理师证书的，每有1人得</w:t>
            </w:r>
            <w:r>
              <w:rPr>
                <w:rFonts w:ascii="Times New Roman" w:hAnsi="Times New Roman" w:eastAsia="宋体" w:cs="宋体"/>
                <w:color w:val="auto"/>
                <w:sz w:val="24"/>
                <w:szCs w:val="24"/>
              </w:rPr>
              <w:t>5</w:t>
            </w:r>
            <w:r>
              <w:rPr>
                <w:rFonts w:hint="eastAsia" w:ascii="Times New Roman" w:hAnsi="Times New Roman" w:eastAsia="宋体" w:cs="宋体"/>
                <w:color w:val="auto"/>
                <w:sz w:val="24"/>
                <w:szCs w:val="24"/>
              </w:rPr>
              <w:t>分，本小项最高得</w:t>
            </w:r>
            <w:r>
              <w:rPr>
                <w:rFonts w:ascii="Times New Roman" w:hAnsi="Times New Roman" w:eastAsia="宋体" w:cs="宋体"/>
                <w:color w:val="auto"/>
                <w:sz w:val="24"/>
                <w:szCs w:val="24"/>
              </w:rPr>
              <w:t>5</w:t>
            </w:r>
            <w:r>
              <w:rPr>
                <w:rFonts w:hint="eastAsia" w:ascii="Times New Roman" w:hAnsi="Times New Roman" w:eastAsia="宋体" w:cs="宋体"/>
                <w:color w:val="auto"/>
                <w:sz w:val="24"/>
                <w:szCs w:val="24"/>
              </w:rPr>
              <w:t>分；</w:t>
            </w:r>
          </w:p>
          <w:p w14:paraId="499E9019">
            <w:pPr>
              <w:jc w:val="left"/>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（2）具有系统分析师证书的，每有1人得</w:t>
            </w:r>
            <w:r>
              <w:rPr>
                <w:rFonts w:ascii="Times New Roman" w:hAnsi="Times New Roman" w:eastAsia="宋体" w:cs="宋体"/>
                <w:color w:val="auto"/>
                <w:sz w:val="24"/>
                <w:szCs w:val="24"/>
              </w:rPr>
              <w:t>5</w:t>
            </w:r>
            <w:r>
              <w:rPr>
                <w:rFonts w:hint="eastAsia" w:ascii="Times New Roman" w:hAnsi="Times New Roman" w:eastAsia="宋体" w:cs="宋体"/>
                <w:color w:val="auto"/>
                <w:sz w:val="24"/>
                <w:szCs w:val="24"/>
              </w:rPr>
              <w:t>分，本小项最高得</w:t>
            </w:r>
            <w:r>
              <w:rPr>
                <w:rFonts w:ascii="Times New Roman" w:hAnsi="Times New Roman" w:eastAsia="宋体" w:cs="宋体"/>
                <w:color w:val="auto"/>
                <w:sz w:val="24"/>
                <w:szCs w:val="24"/>
              </w:rPr>
              <w:t>5</w:t>
            </w:r>
            <w:r>
              <w:rPr>
                <w:rFonts w:hint="eastAsia" w:ascii="Times New Roman" w:hAnsi="Times New Roman" w:eastAsia="宋体" w:cs="宋体"/>
                <w:color w:val="auto"/>
                <w:sz w:val="24"/>
                <w:szCs w:val="24"/>
              </w:rPr>
              <w:t>分；</w:t>
            </w:r>
          </w:p>
          <w:p w14:paraId="630AE1BA">
            <w:pPr>
              <w:jc w:val="left"/>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（3）具有系统架构设计师证书的，每有1人得</w:t>
            </w:r>
            <w:r>
              <w:rPr>
                <w:rFonts w:ascii="Times New Roman" w:hAnsi="Times New Roman" w:eastAsia="宋体" w:cs="宋体"/>
                <w:color w:val="auto"/>
                <w:sz w:val="24"/>
                <w:szCs w:val="24"/>
              </w:rPr>
              <w:t>5</w:t>
            </w:r>
            <w:r>
              <w:rPr>
                <w:rFonts w:hint="eastAsia" w:ascii="Times New Roman" w:hAnsi="Times New Roman" w:eastAsia="宋体" w:cs="宋体"/>
                <w:color w:val="auto"/>
                <w:sz w:val="24"/>
                <w:szCs w:val="24"/>
              </w:rPr>
              <w:t>分，本小项最高得</w:t>
            </w:r>
            <w:r>
              <w:rPr>
                <w:rFonts w:ascii="Times New Roman" w:hAnsi="Times New Roman" w:eastAsia="宋体" w:cs="宋体"/>
                <w:color w:val="auto"/>
                <w:sz w:val="24"/>
                <w:szCs w:val="24"/>
              </w:rPr>
              <w:t>5</w:t>
            </w:r>
            <w:r>
              <w:rPr>
                <w:rFonts w:hint="eastAsia" w:ascii="Times New Roman" w:hAnsi="Times New Roman" w:eastAsia="宋体" w:cs="宋体"/>
                <w:color w:val="auto"/>
                <w:sz w:val="24"/>
                <w:szCs w:val="24"/>
              </w:rPr>
              <w:t>分；</w:t>
            </w:r>
          </w:p>
          <w:p w14:paraId="338283D3">
            <w:pPr>
              <w:pStyle w:val="3"/>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（4）具有系统集成项目管理工程师证书的，每有1人得</w:t>
            </w:r>
            <w:r>
              <w:rPr>
                <w:rFonts w:ascii="Times New Roman" w:hAnsi="Times New Roman" w:eastAsia="宋体" w:cs="宋体"/>
                <w:color w:val="auto"/>
                <w:sz w:val="24"/>
                <w:szCs w:val="24"/>
              </w:rPr>
              <w:t>3</w:t>
            </w:r>
            <w:r>
              <w:rPr>
                <w:rFonts w:hint="eastAsia" w:ascii="Times New Roman" w:hAnsi="Times New Roman" w:eastAsia="宋体" w:cs="宋体"/>
                <w:color w:val="auto"/>
                <w:sz w:val="24"/>
                <w:szCs w:val="24"/>
              </w:rPr>
              <w:t>分，本小项最高得</w:t>
            </w:r>
            <w:r>
              <w:rPr>
                <w:rFonts w:ascii="Times New Roman" w:hAnsi="Times New Roman" w:eastAsia="宋体" w:cs="宋体"/>
                <w:color w:val="auto"/>
                <w:sz w:val="24"/>
                <w:szCs w:val="24"/>
              </w:rPr>
              <w:t>3</w:t>
            </w:r>
            <w:r>
              <w:rPr>
                <w:rFonts w:hint="eastAsia" w:ascii="Times New Roman" w:hAnsi="Times New Roman" w:eastAsia="宋体" w:cs="宋体"/>
                <w:color w:val="auto"/>
                <w:sz w:val="24"/>
                <w:szCs w:val="24"/>
              </w:rPr>
              <w:t>分；</w:t>
            </w:r>
          </w:p>
          <w:p w14:paraId="3107F4AB">
            <w:pPr>
              <w:adjustRightInd w:val="0"/>
              <w:snapToGrid w:val="0"/>
              <w:jc w:val="left"/>
              <w:rPr>
                <w:rFonts w:ascii="Times New Roman" w:hAnsi="Times New Roman" w:eastAsia="宋体" w:cs="宋体"/>
                <w:color w:val="auto"/>
                <w:sz w:val="24"/>
                <w:szCs w:val="24"/>
              </w:rPr>
            </w:pPr>
            <w:r>
              <w:rPr>
                <w:rFonts w:hint="eastAsia" w:ascii="Times New Roman" w:hAnsi="Times New Roman" w:eastAsia="宋体" w:cs="宋体"/>
                <w:b/>
                <w:color w:val="auto"/>
                <w:sz w:val="24"/>
                <w:szCs w:val="24"/>
              </w:rPr>
              <w:t>注：（1）响应文件中需提供上述人员相关证书及供应商为其缴纳的近三个月内至少一个月的社保证明扫描件，未提供的不得分。（2）同一人具有不同类别证书的，只计取一次。</w:t>
            </w:r>
          </w:p>
        </w:tc>
      </w:tr>
      <w:tr w14:paraId="51758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09" w:type="dxa"/>
            <w:vAlign w:val="center"/>
          </w:tcPr>
          <w:p w14:paraId="1722A7F3">
            <w:pPr>
              <w:widowControl/>
              <w:spacing w:line="440" w:lineRule="exact"/>
              <w:jc w:val="center"/>
              <w:rPr>
                <w:rFonts w:ascii="Times New Roman" w:hAnsi="Times New Roman" w:eastAsia="宋体" w:cs="宋体"/>
                <w:color w:val="auto"/>
                <w:sz w:val="24"/>
                <w:szCs w:val="24"/>
              </w:rPr>
            </w:pPr>
            <w:r>
              <w:rPr>
                <w:rFonts w:ascii="Times New Roman" w:hAnsi="Times New Roman" w:eastAsia="宋体" w:cs="宋体"/>
                <w:color w:val="auto"/>
                <w:sz w:val="24"/>
                <w:szCs w:val="24"/>
              </w:rPr>
              <w:t>3</w:t>
            </w:r>
          </w:p>
        </w:tc>
        <w:tc>
          <w:tcPr>
            <w:tcW w:w="1920" w:type="dxa"/>
            <w:vAlign w:val="center"/>
          </w:tcPr>
          <w:p w14:paraId="2791D079">
            <w:pPr>
              <w:adjustRightInd w:val="0"/>
              <w:snapToGrid w:val="0"/>
              <w:jc w:val="center"/>
              <w:rPr>
                <w:rFonts w:ascii="Times New Roman" w:hAnsi="Times New Roman" w:eastAsia="宋体" w:cs="宋体"/>
                <w:color w:val="auto"/>
                <w:sz w:val="24"/>
              </w:rPr>
            </w:pPr>
            <w:r>
              <w:rPr>
                <w:rFonts w:hint="eastAsia" w:ascii="Times New Roman" w:hAnsi="Times New Roman" w:eastAsia="宋体" w:cs="宋体"/>
                <w:color w:val="auto"/>
                <w:sz w:val="24"/>
              </w:rPr>
              <w:t>业绩情况</w:t>
            </w:r>
          </w:p>
        </w:tc>
        <w:tc>
          <w:tcPr>
            <w:tcW w:w="870" w:type="dxa"/>
            <w:vAlign w:val="center"/>
          </w:tcPr>
          <w:p w14:paraId="1FF77878">
            <w:pPr>
              <w:adjustRightInd w:val="0"/>
              <w:snapToGrid w:val="0"/>
              <w:jc w:val="center"/>
              <w:rPr>
                <w:rFonts w:ascii="Times New Roman" w:hAnsi="Times New Roman" w:eastAsia="宋体" w:cs="宋体"/>
                <w:color w:val="auto"/>
                <w:sz w:val="24"/>
              </w:rPr>
            </w:pPr>
            <w:r>
              <w:rPr>
                <w:rFonts w:hint="eastAsia" w:ascii="Times New Roman" w:hAnsi="Times New Roman" w:eastAsia="宋体" w:cs="宋体"/>
                <w:color w:val="auto"/>
                <w:sz w:val="24"/>
              </w:rPr>
              <w:t>8分</w:t>
            </w:r>
          </w:p>
        </w:tc>
        <w:tc>
          <w:tcPr>
            <w:tcW w:w="5735" w:type="dxa"/>
            <w:vAlign w:val="center"/>
          </w:tcPr>
          <w:p w14:paraId="73D54425">
            <w:pPr>
              <w:jc w:val="left"/>
              <w:rPr>
                <w:rFonts w:ascii="Times New Roman" w:hAnsi="Times New Roman" w:eastAsia="宋体" w:cs="宋体"/>
                <w:color w:val="auto"/>
                <w:sz w:val="24"/>
                <w:szCs w:val="24"/>
              </w:rPr>
            </w:pPr>
            <w:r>
              <w:rPr>
                <w:rFonts w:hint="eastAsia" w:ascii="Times New Roman" w:hAnsi="Times New Roman" w:eastAsia="宋体" w:cs="宋体"/>
                <w:color w:val="auto"/>
                <w:sz w:val="24"/>
                <w:szCs w:val="24"/>
              </w:rPr>
              <w:t>根据供应商提供的自20</w:t>
            </w:r>
            <w:r>
              <w:rPr>
                <w:rFonts w:ascii="Times New Roman" w:hAnsi="Times New Roman" w:eastAsia="宋体" w:cs="宋体"/>
                <w:color w:val="auto"/>
                <w:sz w:val="24"/>
                <w:szCs w:val="24"/>
              </w:rPr>
              <w:t>20</w:t>
            </w:r>
            <w:r>
              <w:rPr>
                <w:rFonts w:hint="eastAsia" w:ascii="Times New Roman" w:hAnsi="Times New Roman" w:eastAsia="宋体" w:cs="宋体"/>
                <w:color w:val="auto"/>
                <w:sz w:val="24"/>
                <w:szCs w:val="24"/>
              </w:rPr>
              <w:t>年1月1日（以合同签订时间为准）起至今实施的相关财政预算管理一体化系统建设或运维（内容需包含预算执行模块）的业绩情况进行评定，每提供一个得2分，最高得8分。</w:t>
            </w:r>
          </w:p>
          <w:p w14:paraId="57A43441">
            <w:pPr>
              <w:jc w:val="left"/>
              <w:rPr>
                <w:rFonts w:ascii="Times New Roman" w:hAnsi="Times New Roman" w:eastAsia="宋体" w:cs="宋体"/>
                <w:b/>
                <w:color w:val="auto"/>
                <w:sz w:val="24"/>
                <w:szCs w:val="24"/>
              </w:rPr>
            </w:pPr>
            <w:r>
              <w:rPr>
                <w:rFonts w:hint="eastAsia" w:ascii="Times New Roman" w:hAnsi="Times New Roman" w:eastAsia="宋体" w:cs="宋体"/>
                <w:b/>
                <w:color w:val="auto"/>
                <w:sz w:val="24"/>
                <w:szCs w:val="24"/>
              </w:rPr>
              <w:t>注：响应文件中需提供业绩合同（包括合同首页、标的金额所在页、签字盖章页）扫描件，未提供的不得分。</w:t>
            </w:r>
          </w:p>
        </w:tc>
      </w:tr>
      <w:tr w14:paraId="6F607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09" w:type="dxa"/>
            <w:vAlign w:val="center"/>
          </w:tcPr>
          <w:p w14:paraId="241656EB">
            <w:pPr>
              <w:widowControl/>
              <w:spacing w:line="440" w:lineRule="exact"/>
              <w:jc w:val="center"/>
              <w:rPr>
                <w:rFonts w:ascii="Times New Roman" w:hAnsi="Times New Roman" w:eastAsia="宋体" w:cs="宋体"/>
                <w:color w:val="auto"/>
                <w:sz w:val="24"/>
                <w:szCs w:val="24"/>
              </w:rPr>
            </w:pPr>
            <w:r>
              <w:rPr>
                <w:rFonts w:ascii="Times New Roman" w:hAnsi="Times New Roman" w:eastAsia="宋体" w:cs="宋体"/>
                <w:color w:val="auto"/>
                <w:sz w:val="24"/>
                <w:szCs w:val="24"/>
              </w:rPr>
              <w:t>4</w:t>
            </w:r>
          </w:p>
        </w:tc>
        <w:tc>
          <w:tcPr>
            <w:tcW w:w="1920" w:type="dxa"/>
            <w:vAlign w:val="center"/>
          </w:tcPr>
          <w:p w14:paraId="08112CE6">
            <w:pPr>
              <w:adjustRightInd w:val="0"/>
              <w:snapToGrid w:val="0"/>
              <w:jc w:val="center"/>
              <w:rPr>
                <w:rFonts w:ascii="Times New Roman" w:hAnsi="Times New Roman" w:eastAsia="宋体" w:cs="宋体"/>
                <w:color w:val="auto"/>
                <w:sz w:val="24"/>
              </w:rPr>
            </w:pPr>
            <w:r>
              <w:rPr>
                <w:rFonts w:hint="eastAsia" w:ascii="Times New Roman" w:hAnsi="Times New Roman" w:eastAsia="宋体" w:cs="宋体"/>
                <w:color w:val="auto"/>
                <w:sz w:val="24"/>
              </w:rPr>
              <w:t>商务条件响应性</w:t>
            </w:r>
          </w:p>
        </w:tc>
        <w:tc>
          <w:tcPr>
            <w:tcW w:w="870" w:type="dxa"/>
            <w:vAlign w:val="center"/>
          </w:tcPr>
          <w:p w14:paraId="15F41786">
            <w:pPr>
              <w:adjustRightInd w:val="0"/>
              <w:snapToGrid w:val="0"/>
              <w:jc w:val="center"/>
              <w:rPr>
                <w:rFonts w:ascii="Times New Roman" w:hAnsi="Times New Roman" w:eastAsia="宋体" w:cs="宋体"/>
                <w:color w:val="auto"/>
                <w:sz w:val="24"/>
              </w:rPr>
            </w:pPr>
            <w:r>
              <w:rPr>
                <w:rFonts w:hint="eastAsia" w:ascii="Times New Roman" w:hAnsi="Times New Roman" w:eastAsia="宋体" w:cs="宋体"/>
                <w:color w:val="auto"/>
                <w:sz w:val="24"/>
              </w:rPr>
              <w:t>8分</w:t>
            </w:r>
          </w:p>
        </w:tc>
        <w:tc>
          <w:tcPr>
            <w:tcW w:w="5735" w:type="dxa"/>
            <w:vAlign w:val="center"/>
          </w:tcPr>
          <w:p w14:paraId="50372A59">
            <w:pPr>
              <w:widowControl/>
              <w:rPr>
                <w:rFonts w:ascii="Times New Roman" w:hAnsi="Times New Roman" w:eastAsia="宋体" w:cs="宋体"/>
                <w:color w:val="auto"/>
                <w:sz w:val="24"/>
                <w:szCs w:val="24"/>
              </w:rPr>
            </w:pPr>
            <w:r>
              <w:rPr>
                <w:rFonts w:hint="eastAsia" w:ascii="Times New Roman" w:hAnsi="Times New Roman" w:eastAsia="宋体"/>
                <w:color w:val="auto"/>
                <w:sz w:val="24"/>
                <w:szCs w:val="24"/>
              </w:rPr>
              <w:t>供应商对磋商文件中合同条款等商务条件完全响应的得8分；</w:t>
            </w:r>
            <w:r>
              <w:rPr>
                <w:rFonts w:ascii="Times New Roman" w:hAnsi="Times New Roman" w:eastAsia="宋体"/>
                <w:color w:val="auto"/>
                <w:sz w:val="24"/>
                <w:szCs w:val="24"/>
              </w:rPr>
              <w:t>有</w:t>
            </w:r>
            <w:r>
              <w:rPr>
                <w:rFonts w:hint="eastAsia" w:ascii="Times New Roman" w:hAnsi="Times New Roman" w:eastAsia="宋体"/>
                <w:color w:val="auto"/>
                <w:sz w:val="24"/>
                <w:szCs w:val="24"/>
              </w:rPr>
              <w:t>负</w:t>
            </w:r>
            <w:r>
              <w:rPr>
                <w:rFonts w:ascii="Times New Roman" w:hAnsi="Times New Roman" w:eastAsia="宋体"/>
                <w:color w:val="auto"/>
                <w:sz w:val="24"/>
                <w:szCs w:val="24"/>
              </w:rPr>
              <w:t>偏离</w:t>
            </w:r>
            <w:r>
              <w:rPr>
                <w:rFonts w:hint="eastAsia" w:ascii="Times New Roman" w:hAnsi="Times New Roman" w:eastAsia="宋体"/>
                <w:color w:val="auto"/>
                <w:sz w:val="24"/>
                <w:szCs w:val="24"/>
              </w:rPr>
              <w:t>的</w:t>
            </w:r>
            <w:r>
              <w:rPr>
                <w:rFonts w:ascii="Times New Roman" w:hAnsi="Times New Roman" w:eastAsia="宋体"/>
                <w:color w:val="auto"/>
                <w:sz w:val="24"/>
                <w:szCs w:val="24"/>
              </w:rPr>
              <w:t>，每条扣0.5分</w:t>
            </w:r>
            <w:r>
              <w:rPr>
                <w:rFonts w:hint="eastAsia" w:ascii="Times New Roman" w:hAnsi="Times New Roman" w:eastAsia="宋体"/>
                <w:color w:val="auto"/>
                <w:sz w:val="24"/>
                <w:szCs w:val="24"/>
              </w:rPr>
              <w:t>，最低扣至0分。</w:t>
            </w:r>
          </w:p>
        </w:tc>
      </w:tr>
    </w:tbl>
    <w:p w14:paraId="0434EA02">
      <w:pPr>
        <w:spacing w:line="440" w:lineRule="exact"/>
        <w:rPr>
          <w:b/>
          <w:bCs/>
          <w:color w:val="auto"/>
          <w:sz w:val="28"/>
        </w:rPr>
      </w:pPr>
    </w:p>
    <w:p w14:paraId="7D020AAA">
      <w:pPr>
        <w:spacing w:line="440" w:lineRule="exact"/>
        <w:rPr>
          <w:b/>
          <w:bCs/>
          <w:color w:val="auto"/>
          <w:sz w:val="28"/>
        </w:rPr>
      </w:pPr>
      <w:r>
        <w:rPr>
          <w:b/>
          <w:bCs/>
          <w:color w:val="auto"/>
          <w:sz w:val="28"/>
        </w:rPr>
        <w:t>三、</w:t>
      </w:r>
      <w:r>
        <w:rPr>
          <w:b/>
          <w:bCs/>
          <w:color w:val="auto"/>
          <w:sz w:val="28"/>
          <w:szCs w:val="28"/>
        </w:rPr>
        <w:t>政府采购政策</w:t>
      </w:r>
      <w:r>
        <w:rPr>
          <w:b/>
          <w:bCs/>
          <w:color w:val="auto"/>
          <w:sz w:val="28"/>
        </w:rPr>
        <w:t>：</w:t>
      </w:r>
    </w:p>
    <w:p w14:paraId="526027F3">
      <w:pPr>
        <w:spacing w:line="440" w:lineRule="exact"/>
        <w:ind w:left="479"/>
        <w:jc w:val="left"/>
        <w:rPr>
          <w:color w:val="auto"/>
          <w:sz w:val="24"/>
        </w:rPr>
      </w:pPr>
      <w:r>
        <w:rPr>
          <w:rFonts w:hint="eastAsia"/>
          <w:color w:val="auto"/>
          <w:sz w:val="24"/>
        </w:rPr>
        <w:t>针对中小型企业、残疾人福利单位和监狱企业的评审：</w:t>
      </w:r>
    </w:p>
    <w:p w14:paraId="4DE9696C">
      <w:pPr>
        <w:spacing w:line="440" w:lineRule="exact"/>
        <w:ind w:firstLine="360"/>
        <w:rPr>
          <w:color w:val="auto"/>
          <w:sz w:val="24"/>
        </w:rPr>
      </w:pPr>
      <w:r>
        <w:rPr>
          <w:rFonts w:hint="eastAsia"/>
          <w:color w:val="auto"/>
          <w:sz w:val="24"/>
        </w:rPr>
        <w:t>（1）根据《政府采购促进中小企业发展管理办法》（财库〔2020〕46号）、《关于促进残疾人就业政府采购政策的通知》（财库〔2017〕141号）、《关于政府采购支持监狱企业发展有关问题的通知》（财库〔2014〕68号）和《关于新冠肺炎疫情防控期间加大政府采购支持中小微企业力度的通知》（苏财购〔2020〕19号），对属于小微企业、残疾人福利性单位、监狱企业给予评审优惠：如供应商为小型和微型企业、残疾人福利性单位或监狱企业的，其价格给予</w:t>
      </w:r>
      <w:r>
        <w:rPr>
          <w:b/>
          <w:color w:val="auto"/>
          <w:sz w:val="24"/>
        </w:rPr>
        <w:t>2</w:t>
      </w:r>
      <w:r>
        <w:rPr>
          <w:rFonts w:hint="eastAsia"/>
          <w:b/>
          <w:color w:val="auto"/>
          <w:sz w:val="24"/>
        </w:rPr>
        <w:t>0%</w:t>
      </w:r>
      <w:r>
        <w:rPr>
          <w:rFonts w:hint="eastAsia"/>
          <w:color w:val="auto"/>
          <w:sz w:val="24"/>
        </w:rPr>
        <w:t>的扣除，用扣除后的价格参与评审，如扣除后的价格为最低价的，则作为评审基准价，中标（成交）金额则以实际报价为准。残疾人福利性单位、监狱企业属于小型、微型企业的，不重复享受政策。</w:t>
      </w:r>
    </w:p>
    <w:p w14:paraId="0E7E2D67">
      <w:pPr>
        <w:spacing w:line="440" w:lineRule="exact"/>
        <w:ind w:firstLine="360"/>
        <w:rPr>
          <w:color w:val="auto"/>
          <w:sz w:val="24"/>
        </w:rPr>
      </w:pPr>
      <w:r>
        <w:rPr>
          <w:rFonts w:hint="eastAsia"/>
          <w:color w:val="auto"/>
          <w:sz w:val="24"/>
        </w:rPr>
        <w:t>（</w:t>
      </w:r>
      <w:r>
        <w:rPr>
          <w:color w:val="auto"/>
          <w:sz w:val="24"/>
        </w:rPr>
        <w:t>2</w:t>
      </w:r>
      <w:r>
        <w:rPr>
          <w:rFonts w:hint="eastAsia"/>
          <w:color w:val="auto"/>
          <w:sz w:val="24"/>
        </w:rPr>
        <w:t>）</w:t>
      </w:r>
      <w:r>
        <w:rPr>
          <w:color w:val="auto"/>
          <w:sz w:val="24"/>
        </w:rPr>
        <w:t>在政府采购活动中，供应商提供的货物或者服务符合下列情形的，享受中小企业扶持政策：在货物采购项目中，货物由中小企业制造，即货物由中小企业生产且使用该中小企业商号或者注册商标</w:t>
      </w:r>
      <w:r>
        <w:rPr>
          <w:rFonts w:hint="eastAsia"/>
          <w:color w:val="auto"/>
          <w:sz w:val="24"/>
        </w:rPr>
        <w:t>。</w:t>
      </w:r>
      <w:r>
        <w:rPr>
          <w:color w:val="auto"/>
          <w:sz w:val="24"/>
        </w:rPr>
        <w:t>在服务采购项目中，服务由中小企业承接，即提供服务的人员为中小企业依照《中华人民共和国劳动合同法》 订立劳动合同的从业人员。</w:t>
      </w:r>
    </w:p>
    <w:p w14:paraId="19A081BE">
      <w:pPr>
        <w:spacing w:line="440" w:lineRule="exact"/>
        <w:ind w:firstLine="360"/>
        <w:rPr>
          <w:color w:val="auto"/>
          <w:sz w:val="24"/>
        </w:rPr>
      </w:pPr>
      <w:r>
        <w:rPr>
          <w:color w:val="auto"/>
          <w:sz w:val="24"/>
        </w:rPr>
        <w:t>在货物采购项目中，供应商提供的货物既有中小企业制造货物，也有大型企业制造货物的，不享受中小企业扶持政策。以联合体形式参加政府采购活动，联合体各方均为小微企业的，联合体视同小微企业。</w:t>
      </w:r>
    </w:p>
    <w:p w14:paraId="3D9E07C7">
      <w:pPr>
        <w:spacing w:line="440" w:lineRule="exact"/>
        <w:ind w:firstLine="360"/>
        <w:rPr>
          <w:color w:val="auto"/>
          <w:sz w:val="24"/>
        </w:rPr>
      </w:pPr>
      <w:r>
        <w:rPr>
          <w:rFonts w:hint="eastAsia"/>
          <w:color w:val="auto"/>
          <w:sz w:val="24"/>
        </w:rPr>
        <w:t>（</w:t>
      </w:r>
      <w:r>
        <w:rPr>
          <w:color w:val="auto"/>
          <w:sz w:val="24"/>
        </w:rPr>
        <w:t>3</w:t>
      </w:r>
      <w:r>
        <w:rPr>
          <w:rFonts w:hint="eastAsia"/>
          <w:color w:val="auto"/>
          <w:sz w:val="24"/>
        </w:rPr>
        <w:t>）在响应文件中，小微企业需提供《中小企业声明函》（填报严格按“工信部联企业〔2011〕300号通知中的《中小企业划型标准规定》进行，</w:t>
      </w:r>
      <w:r>
        <w:rPr>
          <w:color w:val="auto"/>
          <w:sz w:val="24"/>
          <w:szCs w:val="24"/>
        </w:rPr>
        <w:t>中小企业规模类型</w:t>
      </w:r>
      <w:r>
        <w:rPr>
          <w:rFonts w:hint="eastAsia"/>
          <w:color w:val="auto"/>
          <w:sz w:val="24"/>
          <w:szCs w:val="24"/>
        </w:rPr>
        <w:t>可进入</w:t>
      </w:r>
      <w:r>
        <w:rPr>
          <w:color w:val="auto"/>
          <w:sz w:val="24"/>
          <w:szCs w:val="24"/>
        </w:rPr>
        <w:t>小程序http：//202.106.120.146/baosong/appweb/orgScale.html</w:t>
      </w:r>
      <w:r>
        <w:rPr>
          <w:rFonts w:hint="eastAsia"/>
          <w:color w:val="auto"/>
          <w:sz w:val="24"/>
          <w:szCs w:val="24"/>
        </w:rPr>
        <w:t>进行自测</w:t>
      </w:r>
      <w:r>
        <w:rPr>
          <w:rFonts w:hint="eastAsia"/>
          <w:color w:val="auto"/>
          <w:sz w:val="24"/>
        </w:rPr>
        <w:t>）；</w:t>
      </w:r>
    </w:p>
    <w:p w14:paraId="729D2825">
      <w:pPr>
        <w:spacing w:line="440" w:lineRule="exact"/>
        <w:ind w:firstLine="360"/>
        <w:rPr>
          <w:color w:val="auto"/>
          <w:sz w:val="24"/>
        </w:rPr>
      </w:pPr>
      <w:r>
        <w:rPr>
          <w:rFonts w:hint="eastAsia"/>
          <w:color w:val="auto"/>
          <w:sz w:val="24"/>
        </w:rPr>
        <w:t>残疾人福利性单位需提供《残疾人福利性单位声明函》；监狱企业需提供由省级以上监狱管理局、戒毒管理局（含新疆生产建设兵团）出具的属于监狱企业的证明文件。</w:t>
      </w:r>
    </w:p>
    <w:p w14:paraId="1219FEE4">
      <w:pPr>
        <w:spacing w:line="440" w:lineRule="exact"/>
        <w:ind w:firstLine="360"/>
        <w:rPr>
          <w:color w:val="auto"/>
          <w:sz w:val="24"/>
        </w:rPr>
      </w:pPr>
      <w:r>
        <w:rPr>
          <w:rFonts w:hint="eastAsia"/>
          <w:color w:val="auto"/>
          <w:sz w:val="24"/>
        </w:rPr>
        <w:t>供应商如不提供以上声明函或证明材料的，则不享受评审优惠政策。</w:t>
      </w:r>
    </w:p>
    <w:p w14:paraId="0A543697">
      <w:pPr>
        <w:numPr>
          <w:ilvl w:val="255"/>
          <w:numId w:val="0"/>
        </w:numPr>
        <w:spacing w:line="440" w:lineRule="exact"/>
        <w:ind w:firstLine="240"/>
        <w:rPr>
          <w:color w:val="auto"/>
          <w:sz w:val="24"/>
        </w:rPr>
      </w:pPr>
      <w:r>
        <w:rPr>
          <w:rFonts w:hint="eastAsia"/>
          <w:color w:val="auto"/>
          <w:sz w:val="24"/>
        </w:rPr>
        <w:t>（4）中标、成交供应商为小微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bookmarkEnd w:id="118"/>
    </w:p>
    <w:p w14:paraId="5BBEF673">
      <w:pPr>
        <w:pStyle w:val="4"/>
        <w:ind w:firstLine="904"/>
        <w:rPr>
          <w:rFonts w:ascii="Times New Roman" w:hAnsi="Times New Roman"/>
          <w:color w:val="auto"/>
        </w:rPr>
      </w:pPr>
      <w:bookmarkStart w:id="127" w:name="_Toc315868063"/>
      <w:bookmarkStart w:id="128" w:name="_Toc315875326"/>
      <w:bookmarkStart w:id="129" w:name="_Toc158691777"/>
      <w:r>
        <w:rPr>
          <w:rFonts w:ascii="Times New Roman" w:hAnsi="Times New Roman"/>
          <w:color w:val="auto"/>
        </w:rPr>
        <w:br w:type="page" w:clear="all"/>
      </w:r>
      <w:bookmarkStart w:id="130" w:name="_Toc8697"/>
      <w:bookmarkStart w:id="131" w:name="_Toc3961"/>
      <w:bookmarkStart w:id="132" w:name="_Toc4298"/>
      <w:r>
        <w:rPr>
          <w:rFonts w:ascii="Times New Roman" w:hAnsi="Times New Roman"/>
          <w:color w:val="auto"/>
        </w:rPr>
        <w:t>第</w:t>
      </w:r>
      <w:r>
        <w:rPr>
          <w:rFonts w:hint="eastAsia" w:ascii="Times New Roman" w:hAnsi="Times New Roman"/>
          <w:color w:val="auto"/>
        </w:rPr>
        <w:t>六</w:t>
      </w:r>
      <w:r>
        <w:rPr>
          <w:rFonts w:ascii="Times New Roman" w:hAnsi="Times New Roman"/>
          <w:color w:val="auto"/>
        </w:rPr>
        <w:t xml:space="preserve">章  </w:t>
      </w:r>
      <w:bookmarkEnd w:id="127"/>
      <w:bookmarkEnd w:id="128"/>
      <w:bookmarkEnd w:id="129"/>
      <w:r>
        <w:rPr>
          <w:rFonts w:ascii="Times New Roman" w:hAnsi="Times New Roman"/>
          <w:color w:val="auto"/>
        </w:rPr>
        <w:t>磋商响应文件格式</w:t>
      </w:r>
      <w:bookmarkEnd w:id="130"/>
      <w:bookmarkEnd w:id="131"/>
      <w:bookmarkEnd w:id="132"/>
    </w:p>
    <w:p w14:paraId="48019170">
      <w:pPr>
        <w:rPr>
          <w:b/>
          <w:color w:val="auto"/>
          <w:sz w:val="44"/>
          <w:szCs w:val="44"/>
        </w:rPr>
      </w:pPr>
      <w:r>
        <w:rPr>
          <w:b/>
          <w:color w:val="auto"/>
          <w:sz w:val="44"/>
          <w:szCs w:val="44"/>
        </w:rPr>
        <w:t>封面：</w:t>
      </w:r>
    </w:p>
    <w:p w14:paraId="7F355298">
      <w:pPr>
        <w:ind w:firstLine="1807"/>
        <w:jc w:val="center"/>
        <w:rPr>
          <w:b/>
          <w:color w:val="auto"/>
          <w:sz w:val="72"/>
          <w:szCs w:val="72"/>
        </w:rPr>
      </w:pPr>
    </w:p>
    <w:p w14:paraId="3BAE9A6A">
      <w:pPr>
        <w:ind w:firstLine="1807"/>
        <w:jc w:val="center"/>
        <w:rPr>
          <w:b/>
          <w:color w:val="auto"/>
          <w:sz w:val="72"/>
          <w:szCs w:val="72"/>
        </w:rPr>
      </w:pPr>
    </w:p>
    <w:p w14:paraId="34669E77">
      <w:pPr>
        <w:ind w:firstLine="1807"/>
        <w:jc w:val="center"/>
        <w:rPr>
          <w:b/>
          <w:color w:val="auto"/>
          <w:sz w:val="72"/>
          <w:szCs w:val="72"/>
        </w:rPr>
      </w:pPr>
    </w:p>
    <w:p w14:paraId="5FD9F96B">
      <w:pPr>
        <w:jc w:val="center"/>
        <w:rPr>
          <w:b/>
          <w:color w:val="auto"/>
          <w:sz w:val="72"/>
          <w:szCs w:val="72"/>
        </w:rPr>
      </w:pPr>
      <w:r>
        <w:rPr>
          <w:b/>
          <w:color w:val="auto"/>
          <w:sz w:val="72"/>
          <w:szCs w:val="72"/>
        </w:rPr>
        <w:t>磋 商 响 应 文 件</w:t>
      </w:r>
    </w:p>
    <w:p w14:paraId="484274EF">
      <w:pPr>
        <w:ind w:firstLine="904"/>
        <w:rPr>
          <w:b/>
          <w:color w:val="auto"/>
          <w:sz w:val="36"/>
          <w:szCs w:val="36"/>
        </w:rPr>
      </w:pPr>
    </w:p>
    <w:p w14:paraId="388CC05A">
      <w:pPr>
        <w:ind w:firstLine="904"/>
        <w:rPr>
          <w:b/>
          <w:color w:val="auto"/>
          <w:sz w:val="36"/>
          <w:szCs w:val="36"/>
        </w:rPr>
      </w:pPr>
    </w:p>
    <w:p w14:paraId="0ABC1A22">
      <w:pPr>
        <w:ind w:firstLine="904"/>
        <w:rPr>
          <w:b/>
          <w:color w:val="auto"/>
          <w:sz w:val="36"/>
          <w:szCs w:val="36"/>
        </w:rPr>
      </w:pPr>
    </w:p>
    <w:p w14:paraId="6D43513B">
      <w:pPr>
        <w:ind w:firstLine="904"/>
        <w:rPr>
          <w:b/>
          <w:color w:val="auto"/>
          <w:sz w:val="36"/>
          <w:szCs w:val="36"/>
        </w:rPr>
      </w:pPr>
    </w:p>
    <w:p w14:paraId="4A903E31">
      <w:pPr>
        <w:ind w:firstLine="904"/>
        <w:rPr>
          <w:b/>
          <w:color w:val="auto"/>
          <w:sz w:val="36"/>
          <w:szCs w:val="36"/>
        </w:rPr>
      </w:pPr>
    </w:p>
    <w:p w14:paraId="1AAEBE16">
      <w:pPr>
        <w:ind w:firstLine="904"/>
        <w:rPr>
          <w:b/>
          <w:color w:val="auto"/>
          <w:sz w:val="36"/>
          <w:szCs w:val="36"/>
        </w:rPr>
      </w:pPr>
    </w:p>
    <w:p w14:paraId="3CBF1521">
      <w:pPr>
        <w:spacing w:line="276" w:lineRule="auto"/>
        <w:ind w:firstLine="904"/>
        <w:jc w:val="center"/>
        <w:rPr>
          <w:b/>
          <w:color w:val="auto"/>
          <w:sz w:val="36"/>
          <w:szCs w:val="36"/>
        </w:rPr>
      </w:pPr>
    </w:p>
    <w:p w14:paraId="099A633D">
      <w:pPr>
        <w:spacing w:line="276" w:lineRule="auto"/>
        <w:jc w:val="center"/>
        <w:rPr>
          <w:b/>
          <w:color w:val="auto"/>
          <w:sz w:val="40"/>
          <w:szCs w:val="40"/>
        </w:rPr>
      </w:pPr>
      <w:r>
        <w:rPr>
          <w:b/>
          <w:color w:val="auto"/>
          <w:sz w:val="40"/>
          <w:szCs w:val="40"/>
        </w:rPr>
        <w:t>项目名称：</w:t>
      </w:r>
      <w:r>
        <w:rPr>
          <w:rFonts w:hint="eastAsia"/>
          <w:b/>
          <w:color w:val="auto"/>
          <w:sz w:val="40"/>
          <w:szCs w:val="40"/>
        </w:rPr>
        <w:t>2026年度江苏省预算管理一体化系统常熟地区实施及运维服务</w:t>
      </w:r>
    </w:p>
    <w:p w14:paraId="02DDE33F">
      <w:pPr>
        <w:ind w:firstLine="904"/>
        <w:rPr>
          <w:rFonts w:hint="eastAsia" w:eastAsia="宋体"/>
          <w:b/>
          <w:color w:val="auto"/>
          <w:sz w:val="40"/>
          <w:szCs w:val="40"/>
          <w:lang w:eastAsia="zh-CN"/>
        </w:rPr>
      </w:pPr>
      <w:r>
        <w:rPr>
          <w:b/>
          <w:color w:val="auto"/>
          <w:sz w:val="40"/>
          <w:szCs w:val="40"/>
        </w:rPr>
        <w:t>项目编号：</w:t>
      </w:r>
      <w:r>
        <w:rPr>
          <w:rFonts w:hint="eastAsia"/>
          <w:b/>
          <w:color w:val="auto"/>
          <w:sz w:val="40"/>
          <w:szCs w:val="40"/>
          <w:lang w:eastAsia="zh-CN"/>
        </w:rPr>
        <w:t>JSZC-320581-XTPC-C2025-0040</w:t>
      </w:r>
    </w:p>
    <w:p w14:paraId="15639153">
      <w:pPr>
        <w:ind w:firstLine="904"/>
        <w:rPr>
          <w:b/>
          <w:color w:val="auto"/>
          <w:sz w:val="36"/>
          <w:szCs w:val="36"/>
        </w:rPr>
      </w:pPr>
    </w:p>
    <w:p w14:paraId="27CAE1CA">
      <w:pPr>
        <w:ind w:firstLine="900"/>
        <w:rPr>
          <w:color w:val="auto"/>
          <w:sz w:val="36"/>
          <w:szCs w:val="36"/>
        </w:rPr>
      </w:pPr>
    </w:p>
    <w:p w14:paraId="2D44DB8D">
      <w:pPr>
        <w:ind w:firstLine="900"/>
        <w:rPr>
          <w:color w:val="auto"/>
          <w:sz w:val="36"/>
          <w:szCs w:val="36"/>
        </w:rPr>
      </w:pPr>
    </w:p>
    <w:p w14:paraId="45A7698B">
      <w:pPr>
        <w:ind w:firstLine="900"/>
        <w:rPr>
          <w:color w:val="auto"/>
          <w:sz w:val="36"/>
          <w:szCs w:val="36"/>
        </w:rPr>
      </w:pPr>
    </w:p>
    <w:p w14:paraId="4288D19D">
      <w:pPr>
        <w:ind w:firstLine="900"/>
        <w:rPr>
          <w:color w:val="auto"/>
          <w:sz w:val="36"/>
          <w:szCs w:val="36"/>
        </w:rPr>
      </w:pPr>
    </w:p>
    <w:p w14:paraId="15DE3EE4">
      <w:pPr>
        <w:ind w:firstLine="900"/>
        <w:rPr>
          <w:color w:val="auto"/>
          <w:sz w:val="36"/>
          <w:szCs w:val="36"/>
        </w:rPr>
      </w:pPr>
    </w:p>
    <w:p w14:paraId="0A1F75EA">
      <w:pPr>
        <w:ind w:firstLine="900"/>
        <w:rPr>
          <w:color w:val="auto"/>
          <w:sz w:val="36"/>
          <w:szCs w:val="36"/>
        </w:rPr>
      </w:pPr>
    </w:p>
    <w:p w14:paraId="73FB579D">
      <w:pPr>
        <w:ind w:firstLine="900"/>
        <w:rPr>
          <w:color w:val="auto"/>
          <w:sz w:val="36"/>
          <w:szCs w:val="36"/>
        </w:rPr>
      </w:pPr>
    </w:p>
    <w:p w14:paraId="0C5D186D">
      <w:pPr>
        <w:ind w:firstLine="1807"/>
        <w:rPr>
          <w:b/>
          <w:color w:val="auto"/>
          <w:sz w:val="36"/>
          <w:szCs w:val="36"/>
        </w:rPr>
      </w:pPr>
      <w:r>
        <w:rPr>
          <w:rFonts w:hint="eastAsia"/>
          <w:b/>
          <w:color w:val="auto"/>
          <w:sz w:val="36"/>
          <w:szCs w:val="36"/>
        </w:rPr>
        <w:t>供 应 商</w:t>
      </w:r>
      <w:r>
        <w:rPr>
          <w:b/>
          <w:color w:val="auto"/>
          <w:sz w:val="36"/>
          <w:szCs w:val="36"/>
        </w:rPr>
        <w:t>：</w:t>
      </w:r>
      <w:r>
        <w:rPr>
          <w:b/>
          <w:color w:val="auto"/>
          <w:sz w:val="36"/>
          <w:szCs w:val="21"/>
          <w:u w:val="single"/>
        </w:rPr>
        <w:t>（加盖CA电子公章）</w:t>
      </w:r>
    </w:p>
    <w:p w14:paraId="6A7EC0C5">
      <w:pPr>
        <w:ind w:firstLine="904"/>
        <w:rPr>
          <w:b/>
          <w:color w:val="auto"/>
          <w:sz w:val="36"/>
          <w:szCs w:val="36"/>
        </w:rPr>
      </w:pPr>
    </w:p>
    <w:p w14:paraId="1BB64818">
      <w:pPr>
        <w:ind w:firstLine="1807"/>
        <w:rPr>
          <w:color w:val="auto"/>
        </w:rPr>
      </w:pPr>
      <w:r>
        <w:rPr>
          <w:b/>
          <w:color w:val="auto"/>
          <w:sz w:val="36"/>
          <w:szCs w:val="36"/>
        </w:rPr>
        <w:t xml:space="preserve">日 </w:t>
      </w:r>
      <w:r>
        <w:rPr>
          <w:rFonts w:hint="eastAsia"/>
          <w:b/>
          <w:color w:val="auto"/>
          <w:sz w:val="36"/>
          <w:szCs w:val="36"/>
        </w:rPr>
        <w:t xml:space="preserve">   </w:t>
      </w:r>
      <w:r>
        <w:rPr>
          <w:b/>
          <w:color w:val="auto"/>
          <w:sz w:val="36"/>
          <w:szCs w:val="36"/>
        </w:rPr>
        <w:t>期：</w:t>
      </w:r>
      <w:r>
        <w:rPr>
          <w:rFonts w:hint="eastAsia"/>
          <w:b/>
          <w:color w:val="auto"/>
          <w:sz w:val="36"/>
          <w:szCs w:val="36"/>
        </w:rPr>
        <w:t xml:space="preserve">     </w:t>
      </w:r>
      <w:r>
        <w:rPr>
          <w:b/>
          <w:color w:val="auto"/>
          <w:sz w:val="36"/>
          <w:szCs w:val="36"/>
        </w:rPr>
        <w:t>年</w:t>
      </w:r>
      <w:r>
        <w:rPr>
          <w:rFonts w:hint="eastAsia"/>
          <w:b/>
          <w:color w:val="auto"/>
          <w:sz w:val="36"/>
          <w:szCs w:val="36"/>
        </w:rPr>
        <w:t xml:space="preserve">    </w:t>
      </w:r>
      <w:r>
        <w:rPr>
          <w:b/>
          <w:color w:val="auto"/>
          <w:sz w:val="36"/>
          <w:szCs w:val="36"/>
        </w:rPr>
        <w:t xml:space="preserve">月   </w:t>
      </w:r>
      <w:r>
        <w:rPr>
          <w:rFonts w:hint="eastAsia"/>
          <w:b/>
          <w:color w:val="auto"/>
          <w:sz w:val="36"/>
          <w:szCs w:val="36"/>
        </w:rPr>
        <w:t xml:space="preserve"> </w:t>
      </w:r>
      <w:r>
        <w:rPr>
          <w:b/>
          <w:color w:val="auto"/>
          <w:sz w:val="36"/>
          <w:szCs w:val="36"/>
        </w:rPr>
        <w:t>日</w:t>
      </w:r>
    </w:p>
    <w:p w14:paraId="3AF8843B">
      <w:pPr>
        <w:ind w:firstLine="1104"/>
        <w:jc w:val="center"/>
        <w:rPr>
          <w:b/>
          <w:color w:val="auto"/>
          <w:sz w:val="44"/>
          <w:szCs w:val="44"/>
        </w:rPr>
      </w:pPr>
      <w:r>
        <w:rPr>
          <w:rFonts w:hint="eastAsia"/>
          <w:b/>
          <w:color w:val="auto"/>
          <w:sz w:val="44"/>
          <w:szCs w:val="44"/>
        </w:rPr>
        <w:br w:type="page" w:clear="all"/>
      </w:r>
      <w:r>
        <w:rPr>
          <w:rFonts w:hint="eastAsia"/>
          <w:b/>
          <w:color w:val="auto"/>
          <w:sz w:val="44"/>
          <w:szCs w:val="44"/>
        </w:rPr>
        <w:t>响应文件目录</w:t>
      </w:r>
    </w:p>
    <w:p w14:paraId="6AF59828">
      <w:pPr>
        <w:spacing w:line="440" w:lineRule="exact"/>
        <w:ind w:firstLine="241"/>
        <w:rPr>
          <w:b/>
          <w:caps/>
          <w:color w:val="auto"/>
          <w:sz w:val="24"/>
          <w:szCs w:val="24"/>
        </w:rPr>
      </w:pPr>
      <w:r>
        <w:rPr>
          <w:rFonts w:hint="eastAsia"/>
          <w:b/>
          <w:caps/>
          <w:color w:val="auto"/>
          <w:sz w:val="24"/>
          <w:szCs w:val="24"/>
        </w:rPr>
        <w:t>一、基本目录</w:t>
      </w:r>
    </w:p>
    <w:p w14:paraId="6ADB36BB">
      <w:pPr>
        <w:spacing w:line="440" w:lineRule="exact"/>
        <w:ind w:firstLine="480"/>
        <w:rPr>
          <w:color w:val="auto"/>
          <w:sz w:val="24"/>
          <w:szCs w:val="24"/>
        </w:rPr>
      </w:pPr>
      <w:r>
        <w:rPr>
          <w:color w:val="auto"/>
          <w:sz w:val="24"/>
          <w:szCs w:val="24"/>
        </w:rPr>
        <w:t>1</w:t>
      </w:r>
      <w:r>
        <w:rPr>
          <w:rFonts w:hint="eastAsia"/>
          <w:color w:val="auto"/>
          <w:sz w:val="24"/>
          <w:szCs w:val="24"/>
        </w:rPr>
        <w:t>、</w:t>
      </w:r>
      <w:r>
        <w:rPr>
          <w:color w:val="auto"/>
          <w:sz w:val="24"/>
          <w:szCs w:val="24"/>
        </w:rPr>
        <w:t>报价一览表</w:t>
      </w:r>
      <w:r>
        <w:rPr>
          <w:rFonts w:hint="eastAsia"/>
          <w:color w:val="auto"/>
          <w:sz w:val="24"/>
          <w:szCs w:val="24"/>
        </w:rPr>
        <w:t>（格式见附件</w:t>
      </w:r>
      <w:r>
        <w:rPr>
          <w:color w:val="auto"/>
          <w:sz w:val="24"/>
          <w:szCs w:val="24"/>
        </w:rPr>
        <w:t>1</w:t>
      </w:r>
      <w:r>
        <w:rPr>
          <w:rFonts w:hint="eastAsia"/>
          <w:color w:val="auto"/>
          <w:sz w:val="24"/>
          <w:szCs w:val="24"/>
        </w:rPr>
        <w:t>）</w:t>
      </w:r>
    </w:p>
    <w:p w14:paraId="76CF9C0A">
      <w:pPr>
        <w:spacing w:line="440" w:lineRule="exact"/>
        <w:ind w:firstLine="480"/>
        <w:rPr>
          <w:color w:val="auto"/>
          <w:sz w:val="24"/>
          <w:szCs w:val="24"/>
        </w:rPr>
      </w:pPr>
      <w:r>
        <w:rPr>
          <w:color w:val="auto"/>
          <w:sz w:val="24"/>
          <w:szCs w:val="24"/>
        </w:rPr>
        <w:t>2</w:t>
      </w:r>
      <w:r>
        <w:rPr>
          <w:rFonts w:hint="eastAsia"/>
          <w:color w:val="auto"/>
          <w:sz w:val="24"/>
          <w:szCs w:val="24"/>
        </w:rPr>
        <w:t>、投入费用明细表（格式见</w:t>
      </w:r>
      <w:r>
        <w:rPr>
          <w:color w:val="auto"/>
          <w:sz w:val="24"/>
          <w:szCs w:val="24"/>
        </w:rPr>
        <w:t>附件2</w:t>
      </w:r>
      <w:r>
        <w:rPr>
          <w:rFonts w:hint="eastAsia"/>
          <w:color w:val="auto"/>
          <w:sz w:val="24"/>
          <w:szCs w:val="24"/>
        </w:rPr>
        <w:t>）</w:t>
      </w:r>
    </w:p>
    <w:p w14:paraId="15A2326F">
      <w:pPr>
        <w:spacing w:line="440" w:lineRule="exact"/>
        <w:ind w:firstLine="241"/>
        <w:rPr>
          <w:b/>
          <w:caps/>
          <w:color w:val="auto"/>
          <w:sz w:val="24"/>
          <w:szCs w:val="24"/>
        </w:rPr>
      </w:pPr>
      <w:r>
        <w:rPr>
          <w:rFonts w:hint="eastAsia"/>
          <w:b/>
          <w:caps/>
          <w:color w:val="auto"/>
          <w:sz w:val="24"/>
          <w:szCs w:val="24"/>
        </w:rPr>
        <w:t>二、资格审查内容</w:t>
      </w:r>
    </w:p>
    <w:p w14:paraId="0A75771D">
      <w:pPr>
        <w:spacing w:line="440" w:lineRule="exact"/>
        <w:ind w:firstLine="480"/>
        <w:rPr>
          <w:color w:val="auto"/>
          <w:sz w:val="24"/>
          <w:szCs w:val="24"/>
        </w:rPr>
      </w:pPr>
      <w:r>
        <w:rPr>
          <w:rFonts w:hint="eastAsia"/>
          <w:color w:val="auto"/>
          <w:sz w:val="24"/>
          <w:szCs w:val="24"/>
        </w:rPr>
        <w:t>1、满足《中华人民共和国政府采购法》第二十二条</w:t>
      </w:r>
      <w:r>
        <w:rPr>
          <w:color w:val="auto"/>
          <w:sz w:val="24"/>
          <w:szCs w:val="24"/>
        </w:rPr>
        <w:t>规定</w:t>
      </w:r>
      <w:r>
        <w:rPr>
          <w:rFonts w:hint="eastAsia"/>
          <w:color w:val="auto"/>
          <w:sz w:val="24"/>
          <w:szCs w:val="24"/>
        </w:rPr>
        <w:t>，并提供下列材料：</w:t>
      </w:r>
    </w:p>
    <w:p w14:paraId="57673C25">
      <w:pPr>
        <w:spacing w:line="440" w:lineRule="exact"/>
        <w:ind w:firstLine="720"/>
        <w:rPr>
          <w:color w:val="auto"/>
          <w:sz w:val="24"/>
          <w:szCs w:val="24"/>
        </w:rPr>
      </w:pPr>
      <w:r>
        <w:rPr>
          <w:rFonts w:hint="eastAsia"/>
          <w:color w:val="auto"/>
          <w:sz w:val="24"/>
          <w:szCs w:val="24"/>
        </w:rPr>
        <w:t>1.1</w:t>
      </w:r>
      <w:r>
        <w:rPr>
          <w:color w:val="auto"/>
          <w:sz w:val="24"/>
          <w:szCs w:val="24"/>
        </w:rPr>
        <w:t>法人或者其他组织的</w:t>
      </w:r>
      <w:r>
        <w:rPr>
          <w:b/>
          <w:bCs/>
          <w:color w:val="auto"/>
          <w:sz w:val="24"/>
          <w:szCs w:val="24"/>
        </w:rPr>
        <w:t>营业执照等</w:t>
      </w:r>
      <w:r>
        <w:rPr>
          <w:color w:val="auto"/>
          <w:sz w:val="24"/>
          <w:szCs w:val="24"/>
        </w:rPr>
        <w:t>证明文件</w:t>
      </w:r>
      <w:r>
        <w:rPr>
          <w:rFonts w:hint="eastAsia"/>
          <w:color w:val="auto"/>
          <w:sz w:val="24"/>
          <w:szCs w:val="24"/>
        </w:rPr>
        <w:t>。</w:t>
      </w:r>
    </w:p>
    <w:p w14:paraId="2E7B4284">
      <w:pPr>
        <w:spacing w:line="440" w:lineRule="exact"/>
        <w:ind w:firstLine="720"/>
        <w:rPr>
          <w:color w:val="auto"/>
          <w:sz w:val="24"/>
          <w:szCs w:val="24"/>
        </w:rPr>
      </w:pPr>
      <w:r>
        <w:rPr>
          <w:rFonts w:hint="eastAsia"/>
          <w:color w:val="auto"/>
          <w:sz w:val="24"/>
          <w:szCs w:val="24"/>
        </w:rPr>
        <w:t xml:space="preserve">1.2  </w:t>
      </w:r>
      <w:r>
        <w:rPr>
          <w:color w:val="auto"/>
          <w:sz w:val="24"/>
          <w:szCs w:val="24"/>
        </w:rPr>
        <w:t>202</w:t>
      </w:r>
      <w:r>
        <w:rPr>
          <w:rFonts w:hint="eastAsia"/>
          <w:color w:val="auto"/>
          <w:sz w:val="24"/>
          <w:szCs w:val="24"/>
        </w:rPr>
        <w:t>3</w:t>
      </w:r>
      <w:r>
        <w:rPr>
          <w:color w:val="auto"/>
          <w:sz w:val="24"/>
          <w:szCs w:val="24"/>
        </w:rPr>
        <w:t>年至今任意一期</w:t>
      </w:r>
      <w:r>
        <w:rPr>
          <w:rFonts w:hint="eastAsia"/>
          <w:color w:val="auto"/>
          <w:sz w:val="24"/>
          <w:szCs w:val="24"/>
        </w:rPr>
        <w:t>经审计的财务报告</w:t>
      </w:r>
      <w:r>
        <w:rPr>
          <w:color w:val="auto"/>
          <w:sz w:val="24"/>
          <w:szCs w:val="24"/>
        </w:rPr>
        <w:t>或者近期由银行出具的资信证明</w:t>
      </w:r>
      <w:r>
        <w:rPr>
          <w:rFonts w:hint="eastAsia"/>
          <w:color w:val="auto"/>
          <w:sz w:val="24"/>
          <w:szCs w:val="24"/>
        </w:rPr>
        <w:t>。</w:t>
      </w:r>
    </w:p>
    <w:p w14:paraId="49B38B15">
      <w:pPr>
        <w:spacing w:line="440" w:lineRule="exact"/>
        <w:ind w:firstLine="720"/>
        <w:rPr>
          <w:color w:val="auto"/>
          <w:sz w:val="24"/>
          <w:szCs w:val="24"/>
        </w:rPr>
      </w:pPr>
      <w:r>
        <w:rPr>
          <w:rFonts w:hint="eastAsia"/>
          <w:color w:val="auto"/>
          <w:sz w:val="24"/>
          <w:szCs w:val="24"/>
        </w:rPr>
        <w:t xml:space="preserve">1.3 </w:t>
      </w:r>
      <w:r>
        <w:rPr>
          <w:color w:val="auto"/>
          <w:sz w:val="24"/>
          <w:szCs w:val="24"/>
        </w:rPr>
        <w:t>依法缴纳税收的相关材料（提供</w:t>
      </w:r>
      <w:r>
        <w:rPr>
          <w:b/>
          <w:bCs/>
          <w:color w:val="auto"/>
          <w:sz w:val="24"/>
          <w:szCs w:val="24"/>
        </w:rPr>
        <w:t>响应文件提交截止时间前一年内至少一个月依法缴纳税收</w:t>
      </w:r>
      <w:r>
        <w:rPr>
          <w:color w:val="auto"/>
          <w:sz w:val="24"/>
          <w:szCs w:val="24"/>
        </w:rPr>
        <w:t>的证明材料，如供应商缴纳税收的凭据等。供应商依法享受缓缴、免缴税收的提供相关证明材料。）</w:t>
      </w:r>
      <w:r>
        <w:rPr>
          <w:rFonts w:hint="eastAsia"/>
          <w:color w:val="auto"/>
          <w:sz w:val="24"/>
          <w:szCs w:val="24"/>
        </w:rPr>
        <w:t>。</w:t>
      </w:r>
    </w:p>
    <w:p w14:paraId="07EB8943">
      <w:pPr>
        <w:spacing w:line="440" w:lineRule="exact"/>
        <w:ind w:firstLine="720"/>
        <w:rPr>
          <w:color w:val="auto"/>
          <w:sz w:val="24"/>
          <w:szCs w:val="24"/>
        </w:rPr>
      </w:pPr>
      <w:r>
        <w:rPr>
          <w:rFonts w:hint="eastAsia"/>
          <w:color w:val="auto"/>
          <w:sz w:val="24"/>
          <w:szCs w:val="24"/>
        </w:rPr>
        <w:t xml:space="preserve">1.4 </w:t>
      </w:r>
      <w:r>
        <w:rPr>
          <w:color w:val="auto"/>
          <w:sz w:val="24"/>
          <w:szCs w:val="24"/>
        </w:rPr>
        <w:t>依法缴纳社会保障资金的相关材料（提供</w:t>
      </w:r>
      <w:r>
        <w:rPr>
          <w:b/>
          <w:bCs/>
          <w:color w:val="auto"/>
          <w:sz w:val="24"/>
          <w:szCs w:val="24"/>
        </w:rPr>
        <w:t>响应文件提交截止时间前一年内至少一个月依法缴纳社会保障资金</w:t>
      </w:r>
      <w:r>
        <w:rPr>
          <w:color w:val="auto"/>
          <w:sz w:val="24"/>
          <w:szCs w:val="24"/>
        </w:rPr>
        <w:t>的证明材料，如供应商缴纳社会保险的专用收据或社会保险缴纳清单等。供应商依法享受缓缴、免缴社会保障资金的提供相关证明材料。）</w:t>
      </w:r>
      <w:r>
        <w:rPr>
          <w:rFonts w:hint="eastAsia"/>
          <w:color w:val="auto"/>
          <w:sz w:val="24"/>
          <w:szCs w:val="24"/>
        </w:rPr>
        <w:t>。</w:t>
      </w:r>
    </w:p>
    <w:p w14:paraId="71FD80A4">
      <w:pPr>
        <w:spacing w:line="440" w:lineRule="exact"/>
        <w:ind w:firstLine="720"/>
        <w:rPr>
          <w:color w:val="auto"/>
          <w:sz w:val="24"/>
          <w:szCs w:val="24"/>
        </w:rPr>
      </w:pPr>
      <w:r>
        <w:rPr>
          <w:rFonts w:hint="eastAsia"/>
          <w:color w:val="auto"/>
          <w:sz w:val="24"/>
          <w:szCs w:val="24"/>
        </w:rPr>
        <w:t>1.5 具备履行合同所必需的设备和专业技术能力的书面声明（格式见</w:t>
      </w:r>
      <w:r>
        <w:rPr>
          <w:color w:val="auto"/>
          <w:sz w:val="24"/>
          <w:szCs w:val="24"/>
        </w:rPr>
        <w:t>附件5</w:t>
      </w:r>
      <w:r>
        <w:rPr>
          <w:rFonts w:hint="eastAsia"/>
          <w:color w:val="auto"/>
          <w:sz w:val="24"/>
          <w:szCs w:val="24"/>
        </w:rPr>
        <w:t>）。</w:t>
      </w:r>
    </w:p>
    <w:p w14:paraId="253D015A">
      <w:pPr>
        <w:spacing w:line="440" w:lineRule="exact"/>
        <w:ind w:firstLine="720"/>
        <w:rPr>
          <w:color w:val="auto"/>
          <w:sz w:val="24"/>
          <w:szCs w:val="24"/>
        </w:rPr>
      </w:pPr>
      <w:r>
        <w:rPr>
          <w:rFonts w:hint="eastAsia"/>
          <w:color w:val="auto"/>
          <w:sz w:val="24"/>
          <w:szCs w:val="24"/>
        </w:rPr>
        <w:t>1.6 参加政府采购活动前3年内在经营活动中没有重大违法记录的书面声明（格式见</w:t>
      </w:r>
      <w:r>
        <w:rPr>
          <w:color w:val="auto"/>
          <w:sz w:val="24"/>
          <w:szCs w:val="24"/>
        </w:rPr>
        <w:t>附件6</w:t>
      </w:r>
      <w:r>
        <w:rPr>
          <w:rFonts w:hint="eastAsia"/>
          <w:color w:val="auto"/>
          <w:sz w:val="24"/>
          <w:szCs w:val="24"/>
        </w:rPr>
        <w:t>）。</w:t>
      </w:r>
    </w:p>
    <w:p w14:paraId="30699138">
      <w:pPr>
        <w:numPr>
          <w:ilvl w:val="0"/>
          <w:numId w:val="6"/>
        </w:numPr>
        <w:spacing w:line="440" w:lineRule="exact"/>
        <w:ind w:firstLine="480"/>
        <w:rPr>
          <w:color w:val="auto"/>
          <w:sz w:val="24"/>
          <w:szCs w:val="24"/>
        </w:rPr>
      </w:pPr>
      <w:r>
        <w:rPr>
          <w:color w:val="auto"/>
          <w:sz w:val="24"/>
          <w:szCs w:val="24"/>
        </w:rPr>
        <w:t>法定代表人授权书</w:t>
      </w:r>
      <w:r>
        <w:rPr>
          <w:rFonts w:hint="eastAsia"/>
          <w:color w:val="auto"/>
          <w:sz w:val="24"/>
          <w:szCs w:val="24"/>
        </w:rPr>
        <w:t>（格式见附件7）</w:t>
      </w:r>
    </w:p>
    <w:p w14:paraId="5CF4DBAC">
      <w:pPr>
        <w:spacing w:line="440" w:lineRule="exact"/>
        <w:ind w:firstLine="241"/>
        <w:rPr>
          <w:b/>
          <w:caps/>
          <w:color w:val="auto"/>
          <w:sz w:val="24"/>
          <w:szCs w:val="24"/>
        </w:rPr>
      </w:pPr>
      <w:r>
        <w:rPr>
          <w:rFonts w:hint="eastAsia"/>
          <w:b/>
          <w:caps/>
          <w:color w:val="auto"/>
          <w:sz w:val="24"/>
          <w:szCs w:val="24"/>
        </w:rPr>
        <w:t>三、符合性审查内容</w:t>
      </w:r>
    </w:p>
    <w:p w14:paraId="389C3684">
      <w:pPr>
        <w:spacing w:line="440" w:lineRule="exact"/>
        <w:ind w:firstLine="480"/>
        <w:rPr>
          <w:color w:val="auto"/>
          <w:sz w:val="24"/>
          <w:szCs w:val="24"/>
        </w:rPr>
      </w:pPr>
      <w:r>
        <w:rPr>
          <w:rFonts w:hint="eastAsia"/>
          <w:color w:val="auto"/>
          <w:sz w:val="24"/>
          <w:szCs w:val="24"/>
        </w:rPr>
        <w:t>1、</w:t>
      </w:r>
      <w:r>
        <w:rPr>
          <w:color w:val="auto"/>
          <w:sz w:val="24"/>
          <w:szCs w:val="24"/>
        </w:rPr>
        <w:t>磋商</w:t>
      </w:r>
      <w:r>
        <w:rPr>
          <w:rFonts w:hint="eastAsia"/>
          <w:color w:val="auto"/>
          <w:sz w:val="24"/>
          <w:szCs w:val="24"/>
        </w:rPr>
        <w:t>响应</w:t>
      </w:r>
      <w:r>
        <w:rPr>
          <w:color w:val="auto"/>
          <w:sz w:val="24"/>
          <w:szCs w:val="24"/>
        </w:rPr>
        <w:t>函</w:t>
      </w:r>
      <w:r>
        <w:rPr>
          <w:rFonts w:hint="eastAsia"/>
          <w:color w:val="auto"/>
          <w:sz w:val="24"/>
          <w:szCs w:val="24"/>
        </w:rPr>
        <w:t>（格式见附件8）</w:t>
      </w:r>
    </w:p>
    <w:p w14:paraId="5BE44868">
      <w:pPr>
        <w:tabs>
          <w:tab w:val="center" w:pos="4873"/>
        </w:tabs>
        <w:spacing w:line="440" w:lineRule="exact"/>
        <w:ind w:firstLine="480"/>
        <w:rPr>
          <w:rFonts w:hint="eastAsia" w:eastAsia="宋体"/>
          <w:color w:val="auto"/>
          <w:sz w:val="24"/>
          <w:szCs w:val="24"/>
          <w:lang w:eastAsia="zh-CN"/>
        </w:rPr>
      </w:pPr>
      <w:r>
        <w:rPr>
          <w:rFonts w:hint="eastAsia"/>
          <w:color w:val="auto"/>
          <w:sz w:val="24"/>
          <w:szCs w:val="24"/>
        </w:rPr>
        <w:t>2、实质性要求响应及偏离表（格式见附件11）</w:t>
      </w:r>
      <w:r>
        <w:rPr>
          <w:rFonts w:hint="eastAsia"/>
          <w:color w:val="auto"/>
          <w:sz w:val="24"/>
          <w:szCs w:val="24"/>
          <w:lang w:eastAsia="zh-CN"/>
        </w:rPr>
        <w:tab/>
      </w:r>
    </w:p>
    <w:p w14:paraId="5FBAB18B">
      <w:pPr>
        <w:spacing w:line="440" w:lineRule="exact"/>
        <w:ind w:firstLine="241"/>
        <w:rPr>
          <w:b/>
          <w:caps/>
          <w:color w:val="auto"/>
          <w:sz w:val="24"/>
          <w:szCs w:val="24"/>
        </w:rPr>
      </w:pPr>
      <w:r>
        <w:rPr>
          <w:rFonts w:hint="eastAsia"/>
          <w:b/>
          <w:caps/>
          <w:color w:val="auto"/>
          <w:sz w:val="24"/>
          <w:szCs w:val="24"/>
        </w:rPr>
        <w:t>四、综合评审文件</w:t>
      </w:r>
    </w:p>
    <w:p w14:paraId="183A13B1">
      <w:pPr>
        <w:spacing w:line="440" w:lineRule="exact"/>
        <w:ind w:firstLine="480"/>
        <w:rPr>
          <w:color w:val="auto"/>
          <w:sz w:val="24"/>
          <w:szCs w:val="24"/>
        </w:rPr>
      </w:pPr>
      <w:r>
        <w:rPr>
          <w:rFonts w:hint="eastAsia"/>
          <w:color w:val="auto"/>
          <w:sz w:val="24"/>
          <w:szCs w:val="24"/>
        </w:rPr>
        <w:t>1、</w:t>
      </w:r>
      <w:r>
        <w:rPr>
          <w:color w:val="auto"/>
          <w:sz w:val="24"/>
          <w:szCs w:val="24"/>
        </w:rPr>
        <w:t>项目服务要求响应及偏离表</w:t>
      </w:r>
      <w:r>
        <w:rPr>
          <w:rFonts w:hint="eastAsia"/>
          <w:color w:val="auto"/>
          <w:sz w:val="24"/>
          <w:szCs w:val="24"/>
        </w:rPr>
        <w:t>（格式见附件3）</w:t>
      </w:r>
    </w:p>
    <w:p w14:paraId="071219E3">
      <w:pPr>
        <w:spacing w:line="440" w:lineRule="exact"/>
        <w:ind w:firstLine="480"/>
        <w:rPr>
          <w:color w:val="auto"/>
          <w:sz w:val="24"/>
          <w:szCs w:val="24"/>
        </w:rPr>
      </w:pPr>
      <w:r>
        <w:rPr>
          <w:rFonts w:hint="eastAsia"/>
          <w:color w:val="auto"/>
          <w:sz w:val="24"/>
          <w:szCs w:val="24"/>
        </w:rPr>
        <w:t>2、</w:t>
      </w:r>
      <w:r>
        <w:rPr>
          <w:color w:val="auto"/>
          <w:sz w:val="24"/>
          <w:szCs w:val="24"/>
        </w:rPr>
        <w:t>商务条件响应及偏离表</w:t>
      </w:r>
      <w:r>
        <w:rPr>
          <w:rFonts w:hint="eastAsia"/>
          <w:color w:val="auto"/>
          <w:sz w:val="24"/>
          <w:szCs w:val="24"/>
        </w:rPr>
        <w:t>（格式见附件4）</w:t>
      </w:r>
    </w:p>
    <w:p w14:paraId="5C77CFDD">
      <w:pPr>
        <w:spacing w:line="440" w:lineRule="exact"/>
        <w:ind w:firstLine="480"/>
        <w:rPr>
          <w:color w:val="auto"/>
          <w:sz w:val="24"/>
          <w:szCs w:val="24"/>
        </w:rPr>
      </w:pPr>
      <w:r>
        <w:rPr>
          <w:rFonts w:hint="eastAsia"/>
          <w:color w:val="auto"/>
          <w:sz w:val="24"/>
          <w:szCs w:val="24"/>
        </w:rPr>
        <w:t>3、</w:t>
      </w:r>
      <w:r>
        <w:rPr>
          <w:color w:val="auto"/>
          <w:sz w:val="24"/>
          <w:szCs w:val="24"/>
        </w:rPr>
        <w:t>项目实施方案</w:t>
      </w:r>
      <w:r>
        <w:rPr>
          <w:rFonts w:hint="eastAsia"/>
          <w:color w:val="auto"/>
          <w:sz w:val="24"/>
          <w:szCs w:val="24"/>
        </w:rPr>
        <w:t>（格式见附件13）</w:t>
      </w:r>
    </w:p>
    <w:p w14:paraId="7B6E262D">
      <w:pPr>
        <w:spacing w:line="440" w:lineRule="exact"/>
        <w:ind w:firstLine="480"/>
        <w:rPr>
          <w:color w:val="auto"/>
          <w:sz w:val="24"/>
        </w:rPr>
      </w:pPr>
      <w:r>
        <w:rPr>
          <w:rFonts w:hint="eastAsia"/>
          <w:color w:val="auto"/>
          <w:sz w:val="24"/>
        </w:rPr>
        <w:t>4、人员配备表（格式见</w:t>
      </w:r>
      <w:r>
        <w:rPr>
          <w:color w:val="auto"/>
          <w:sz w:val="24"/>
        </w:rPr>
        <w:t>附件1</w:t>
      </w:r>
      <w:r>
        <w:rPr>
          <w:rFonts w:hint="eastAsia"/>
          <w:color w:val="auto"/>
          <w:sz w:val="24"/>
        </w:rPr>
        <w:t>2）</w:t>
      </w:r>
    </w:p>
    <w:p w14:paraId="4BBB84D5">
      <w:pPr>
        <w:spacing w:line="440" w:lineRule="exact"/>
        <w:ind w:firstLine="480"/>
        <w:rPr>
          <w:color w:val="auto"/>
          <w:sz w:val="24"/>
          <w:szCs w:val="24"/>
        </w:rPr>
      </w:pPr>
      <w:r>
        <w:rPr>
          <w:rFonts w:hint="eastAsia"/>
          <w:color w:val="auto"/>
          <w:sz w:val="24"/>
          <w:szCs w:val="24"/>
        </w:rPr>
        <w:t>5、</w:t>
      </w:r>
      <w:r>
        <w:rPr>
          <w:color w:val="auto"/>
          <w:sz w:val="24"/>
          <w:szCs w:val="24"/>
        </w:rPr>
        <w:t>业绩一览表</w:t>
      </w:r>
      <w:r>
        <w:rPr>
          <w:rFonts w:hint="eastAsia"/>
          <w:color w:val="auto"/>
          <w:sz w:val="24"/>
          <w:szCs w:val="24"/>
        </w:rPr>
        <w:t>（格式见附件14）</w:t>
      </w:r>
    </w:p>
    <w:p w14:paraId="73E3BC36">
      <w:pPr>
        <w:spacing w:line="440" w:lineRule="exact"/>
        <w:ind w:firstLine="480"/>
        <w:rPr>
          <w:color w:val="auto"/>
          <w:sz w:val="24"/>
          <w:szCs w:val="24"/>
        </w:rPr>
      </w:pPr>
      <w:r>
        <w:rPr>
          <w:rFonts w:hint="eastAsia"/>
          <w:color w:val="auto"/>
          <w:sz w:val="24"/>
          <w:szCs w:val="24"/>
        </w:rPr>
        <w:t>6、中小企业声明函（格式见附件9）或残疾人福利性单位声明函（格式见附件10）或省级以上监狱管理局、戒毒管理局（含新疆生产建设兵团）出具的属于监狱企业的证明文件</w:t>
      </w:r>
    </w:p>
    <w:p w14:paraId="02B865D9">
      <w:pPr>
        <w:spacing w:line="440" w:lineRule="exact"/>
        <w:ind w:firstLine="482"/>
        <w:rPr>
          <w:b/>
          <w:bCs/>
          <w:color w:val="auto"/>
          <w:sz w:val="24"/>
          <w:szCs w:val="24"/>
          <w:u w:val="single"/>
        </w:rPr>
      </w:pPr>
      <w:r>
        <w:rPr>
          <w:rFonts w:hint="eastAsia"/>
          <w:b/>
          <w:bCs/>
          <w:color w:val="auto"/>
          <w:sz w:val="24"/>
          <w:szCs w:val="24"/>
          <w:u w:val="single"/>
        </w:rPr>
        <w:t>备注：针对“二、资格审查内容”和“三、符合性审查内容”，供应商必须在响应文件中提供相关材料，若有缺失或无效的，将导致其投标无效。</w:t>
      </w:r>
    </w:p>
    <w:p w14:paraId="7727DD9E">
      <w:pPr>
        <w:pStyle w:val="5"/>
        <w:rPr>
          <w:color w:val="auto"/>
        </w:rPr>
      </w:pPr>
      <w:bookmarkStart w:id="133" w:name="_Toc498428334"/>
      <w:bookmarkStart w:id="134" w:name="_Toc325102371"/>
      <w:bookmarkStart w:id="135" w:name="_Toc400539224"/>
      <w:bookmarkStart w:id="136" w:name="_Toc364752360"/>
      <w:r>
        <w:rPr>
          <w:color w:val="auto"/>
        </w:rPr>
        <w:br w:type="page" w:clear="all"/>
      </w:r>
      <w:bookmarkStart w:id="137" w:name="_Toc31026"/>
      <w:bookmarkStart w:id="138" w:name="_Toc7181"/>
      <w:bookmarkStart w:id="139" w:name="_Toc13878"/>
      <w:r>
        <w:rPr>
          <w:rFonts w:hint="eastAsia"/>
          <w:color w:val="auto"/>
        </w:rPr>
        <w:t>附件</w:t>
      </w:r>
      <w:r>
        <w:rPr>
          <w:color w:val="auto"/>
        </w:rPr>
        <w:t>1</w:t>
      </w:r>
      <w:r>
        <w:rPr>
          <w:rFonts w:hint="eastAsia"/>
          <w:color w:val="auto"/>
        </w:rPr>
        <w:t xml:space="preserve"> </w:t>
      </w:r>
      <w:r>
        <w:rPr>
          <w:color w:val="auto"/>
        </w:rPr>
        <w:t>报价一览表</w:t>
      </w:r>
      <w:bookmarkEnd w:id="133"/>
      <w:bookmarkEnd w:id="134"/>
      <w:bookmarkEnd w:id="135"/>
      <w:bookmarkEnd w:id="136"/>
      <w:bookmarkEnd w:id="137"/>
      <w:bookmarkEnd w:id="138"/>
      <w:bookmarkEnd w:id="139"/>
    </w:p>
    <w:p w14:paraId="4F6DE18C">
      <w:pPr>
        <w:spacing w:line="440" w:lineRule="exact"/>
        <w:rPr>
          <w:b/>
          <w:bCs/>
          <w:color w:val="auto"/>
          <w:sz w:val="24"/>
          <w:szCs w:val="24"/>
        </w:rPr>
      </w:pPr>
      <w:r>
        <w:rPr>
          <w:rFonts w:hint="eastAsia"/>
          <w:b/>
          <w:bCs/>
          <w:color w:val="auto"/>
          <w:sz w:val="24"/>
          <w:szCs w:val="24"/>
        </w:rPr>
        <w:t>供应商全称（加</w:t>
      </w:r>
      <w:r>
        <w:rPr>
          <w:b/>
          <w:bCs/>
          <w:color w:val="auto"/>
          <w:sz w:val="24"/>
          <w:szCs w:val="24"/>
        </w:rPr>
        <w:t>盖CA电子</w:t>
      </w:r>
      <w:r>
        <w:rPr>
          <w:rFonts w:hint="eastAsia"/>
          <w:b/>
          <w:bCs/>
          <w:color w:val="auto"/>
          <w:sz w:val="24"/>
          <w:szCs w:val="24"/>
        </w:rPr>
        <w:t>签章）：</w:t>
      </w:r>
    </w:p>
    <w:p w14:paraId="45729F09">
      <w:pPr>
        <w:spacing w:line="440" w:lineRule="exact"/>
        <w:rPr>
          <w:color w:val="auto"/>
          <w:sz w:val="24"/>
          <w:szCs w:val="24"/>
        </w:rPr>
      </w:pPr>
      <w:r>
        <w:rPr>
          <w:rFonts w:hint="eastAsia"/>
          <w:color w:val="auto"/>
          <w:sz w:val="24"/>
          <w:szCs w:val="24"/>
        </w:rPr>
        <w:t>项目名</w:t>
      </w:r>
      <w:r>
        <w:rPr>
          <w:color w:val="auto"/>
          <w:sz w:val="24"/>
          <w:szCs w:val="24"/>
        </w:rPr>
        <w:t>称：</w:t>
      </w:r>
      <w:r>
        <w:rPr>
          <w:rFonts w:hint="eastAsia"/>
          <w:color w:val="auto"/>
          <w:sz w:val="24"/>
          <w:szCs w:val="24"/>
        </w:rPr>
        <w:t>2026年度江苏省预算管理一体化系统常熟地区实施及运维服务</w:t>
      </w:r>
    </w:p>
    <w:p w14:paraId="594BFAAE">
      <w:pPr>
        <w:spacing w:line="440" w:lineRule="exact"/>
        <w:rPr>
          <w:rFonts w:hint="eastAsia" w:eastAsia="宋体"/>
          <w:color w:val="auto"/>
          <w:sz w:val="24"/>
          <w:szCs w:val="24"/>
          <w:lang w:eastAsia="zh-CN"/>
        </w:rPr>
      </w:pPr>
      <w:r>
        <w:rPr>
          <w:color w:val="auto"/>
          <w:sz w:val="24"/>
          <w:szCs w:val="24"/>
        </w:rPr>
        <w:t>项目编号：</w:t>
      </w:r>
      <w:r>
        <w:rPr>
          <w:rFonts w:hint="eastAsia"/>
          <w:color w:val="auto"/>
          <w:sz w:val="24"/>
          <w:szCs w:val="24"/>
          <w:lang w:eastAsia="zh-CN"/>
        </w:rPr>
        <w:t>JSZC-320581-XTPC-C2025-0040</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1"/>
      </w:tblGrid>
      <w:tr w14:paraId="78D6B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jc w:val="center"/>
        </w:trPr>
        <w:tc>
          <w:tcPr>
            <w:tcW w:w="9621" w:type="dxa"/>
            <w:vAlign w:val="center"/>
          </w:tcPr>
          <w:p w14:paraId="52DCB9F4">
            <w:pPr>
              <w:ind w:firstLine="602"/>
              <w:jc w:val="center"/>
              <w:rPr>
                <w:color w:val="auto"/>
                <w:sz w:val="24"/>
                <w:szCs w:val="24"/>
              </w:rPr>
            </w:pPr>
            <w:r>
              <w:rPr>
                <w:rFonts w:hint="eastAsia"/>
                <w:b/>
                <w:bCs/>
                <w:color w:val="auto"/>
                <w:sz w:val="24"/>
                <w:szCs w:val="24"/>
              </w:rPr>
              <w:t>报价总价</w:t>
            </w:r>
          </w:p>
        </w:tc>
      </w:tr>
      <w:tr w14:paraId="1D30D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9621" w:type="dxa"/>
            <w:vAlign w:val="center"/>
          </w:tcPr>
          <w:p w14:paraId="5F320684">
            <w:pPr>
              <w:spacing w:line="500" w:lineRule="exact"/>
              <w:rPr>
                <w:color w:val="auto"/>
                <w:sz w:val="24"/>
              </w:rPr>
            </w:pPr>
            <w:r>
              <w:rPr>
                <w:rFonts w:hint="eastAsia" w:cs="宋体"/>
                <w:color w:val="auto"/>
                <w:sz w:val="24"/>
                <w:szCs w:val="24"/>
              </w:rPr>
              <w:t>小写：                      （大写人民币：           元）</w:t>
            </w:r>
          </w:p>
        </w:tc>
      </w:tr>
    </w:tbl>
    <w:p w14:paraId="74D42E16">
      <w:pPr>
        <w:spacing w:line="420" w:lineRule="exact"/>
        <w:rPr>
          <w:bCs/>
          <w:color w:val="auto"/>
          <w:sz w:val="24"/>
        </w:rPr>
      </w:pPr>
      <w:r>
        <w:rPr>
          <w:bCs/>
          <w:color w:val="auto"/>
          <w:sz w:val="24"/>
        </w:rPr>
        <w:t>注：</w:t>
      </w:r>
      <w:r>
        <w:rPr>
          <w:rFonts w:hint="eastAsia"/>
          <w:bCs/>
          <w:color w:val="auto"/>
          <w:sz w:val="24"/>
        </w:rPr>
        <w:t>报价总价请保留小</w:t>
      </w:r>
      <w:r>
        <w:rPr>
          <w:bCs/>
          <w:color w:val="auto"/>
          <w:sz w:val="24"/>
        </w:rPr>
        <w:t>数点后两位。</w:t>
      </w:r>
    </w:p>
    <w:p w14:paraId="0AF9044C">
      <w:pPr>
        <w:pStyle w:val="3"/>
        <w:rPr>
          <w:rFonts w:ascii="Times New Roman" w:hAnsi="Times New Roman"/>
          <w:color w:val="auto"/>
        </w:rPr>
      </w:pPr>
    </w:p>
    <w:p w14:paraId="0E26864B">
      <w:pPr>
        <w:pStyle w:val="5"/>
        <w:rPr>
          <w:color w:val="auto"/>
        </w:rPr>
      </w:pPr>
      <w:bookmarkStart w:id="140" w:name="_Toc996"/>
      <w:r>
        <w:rPr>
          <w:rFonts w:hint="eastAsia"/>
          <w:color w:val="auto"/>
        </w:rPr>
        <w:br w:type="page" w:clear="all"/>
      </w:r>
      <w:bookmarkStart w:id="141" w:name="_Toc8013"/>
      <w:bookmarkStart w:id="142" w:name="_Toc16041"/>
      <w:bookmarkStart w:id="143" w:name="_Toc17"/>
      <w:r>
        <w:rPr>
          <w:rFonts w:hint="eastAsia"/>
          <w:color w:val="auto"/>
        </w:rPr>
        <w:t xml:space="preserve">附件2 </w:t>
      </w:r>
      <w:bookmarkEnd w:id="140"/>
      <w:r>
        <w:rPr>
          <w:rFonts w:hint="eastAsia"/>
          <w:color w:val="auto"/>
        </w:rPr>
        <w:t>投入费用明细表</w:t>
      </w:r>
      <w:bookmarkEnd w:id="141"/>
      <w:bookmarkEnd w:id="142"/>
      <w:bookmarkEnd w:id="143"/>
    </w:p>
    <w:tbl>
      <w:tblPr>
        <w:tblStyle w:val="57"/>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3226"/>
        <w:gridCol w:w="1119"/>
        <w:gridCol w:w="2413"/>
        <w:gridCol w:w="1825"/>
      </w:tblGrid>
      <w:tr w14:paraId="6722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1089" w:type="dxa"/>
            <w:vAlign w:val="center"/>
          </w:tcPr>
          <w:p w14:paraId="76FAA4F0">
            <w:pPr>
              <w:jc w:val="center"/>
              <w:rPr>
                <w:b/>
                <w:bCs/>
                <w:color w:val="auto"/>
                <w:sz w:val="24"/>
                <w:szCs w:val="22"/>
              </w:rPr>
            </w:pPr>
            <w:r>
              <w:rPr>
                <w:b/>
                <w:bCs/>
                <w:color w:val="auto"/>
                <w:sz w:val="24"/>
                <w:szCs w:val="22"/>
              </w:rPr>
              <w:t>序号</w:t>
            </w:r>
          </w:p>
        </w:tc>
        <w:tc>
          <w:tcPr>
            <w:tcW w:w="3226" w:type="dxa"/>
            <w:vAlign w:val="center"/>
          </w:tcPr>
          <w:p w14:paraId="08968626">
            <w:pPr>
              <w:jc w:val="center"/>
              <w:rPr>
                <w:b/>
                <w:bCs/>
                <w:color w:val="auto"/>
                <w:sz w:val="24"/>
                <w:szCs w:val="22"/>
              </w:rPr>
            </w:pPr>
            <w:r>
              <w:rPr>
                <w:rFonts w:hint="eastAsia"/>
                <w:b/>
                <w:bCs/>
                <w:color w:val="auto"/>
                <w:sz w:val="24"/>
                <w:szCs w:val="22"/>
              </w:rPr>
              <w:t>投入项目及</w:t>
            </w:r>
            <w:r>
              <w:rPr>
                <w:b/>
                <w:bCs/>
                <w:color w:val="auto"/>
                <w:sz w:val="24"/>
                <w:szCs w:val="22"/>
              </w:rPr>
              <w:t>费用名称</w:t>
            </w:r>
          </w:p>
        </w:tc>
        <w:tc>
          <w:tcPr>
            <w:tcW w:w="1119" w:type="dxa"/>
            <w:vAlign w:val="center"/>
          </w:tcPr>
          <w:p w14:paraId="11A51621">
            <w:pPr>
              <w:ind w:firstLine="241"/>
              <w:jc w:val="center"/>
              <w:rPr>
                <w:b/>
                <w:bCs/>
                <w:color w:val="auto"/>
                <w:sz w:val="24"/>
                <w:szCs w:val="22"/>
              </w:rPr>
            </w:pPr>
            <w:r>
              <w:rPr>
                <w:rFonts w:hint="eastAsia"/>
                <w:b/>
                <w:bCs/>
                <w:color w:val="auto"/>
                <w:sz w:val="24"/>
                <w:szCs w:val="22"/>
              </w:rPr>
              <w:t>数量</w:t>
            </w:r>
          </w:p>
        </w:tc>
        <w:tc>
          <w:tcPr>
            <w:tcW w:w="2413" w:type="dxa"/>
            <w:vAlign w:val="center"/>
          </w:tcPr>
          <w:p w14:paraId="054EBDEB">
            <w:pPr>
              <w:jc w:val="center"/>
              <w:rPr>
                <w:b/>
                <w:bCs/>
                <w:color w:val="auto"/>
                <w:sz w:val="24"/>
                <w:szCs w:val="22"/>
              </w:rPr>
            </w:pPr>
            <w:r>
              <w:rPr>
                <w:rFonts w:hint="eastAsia"/>
                <w:b/>
                <w:bCs/>
                <w:color w:val="auto"/>
                <w:sz w:val="24"/>
                <w:szCs w:val="22"/>
              </w:rPr>
              <w:t>金额（人民币元）</w:t>
            </w:r>
          </w:p>
        </w:tc>
        <w:tc>
          <w:tcPr>
            <w:tcW w:w="1825" w:type="dxa"/>
            <w:vAlign w:val="center"/>
          </w:tcPr>
          <w:p w14:paraId="38D89040">
            <w:pPr>
              <w:jc w:val="center"/>
              <w:rPr>
                <w:b/>
                <w:bCs/>
                <w:color w:val="auto"/>
                <w:sz w:val="24"/>
                <w:szCs w:val="22"/>
              </w:rPr>
            </w:pPr>
            <w:r>
              <w:rPr>
                <w:rFonts w:hint="eastAsia"/>
                <w:b/>
                <w:bCs/>
                <w:color w:val="auto"/>
                <w:sz w:val="24"/>
                <w:szCs w:val="22"/>
              </w:rPr>
              <w:t>备注</w:t>
            </w:r>
          </w:p>
        </w:tc>
      </w:tr>
      <w:tr w14:paraId="73E3D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jc w:val="center"/>
        </w:trPr>
        <w:tc>
          <w:tcPr>
            <w:tcW w:w="1089" w:type="dxa"/>
            <w:vAlign w:val="center"/>
          </w:tcPr>
          <w:p w14:paraId="3BBAFC80">
            <w:pPr>
              <w:pStyle w:val="37"/>
              <w:spacing w:after="0" w:line="240" w:lineRule="auto"/>
              <w:rPr>
                <w:rFonts w:eastAsia="宋体"/>
                <w:color w:val="auto"/>
                <w:szCs w:val="24"/>
              </w:rPr>
            </w:pPr>
            <w:r>
              <w:rPr>
                <w:rFonts w:hint="eastAsia" w:eastAsia="宋体"/>
                <w:color w:val="auto"/>
                <w:szCs w:val="24"/>
              </w:rPr>
              <w:t>1</w:t>
            </w:r>
          </w:p>
        </w:tc>
        <w:tc>
          <w:tcPr>
            <w:tcW w:w="3226" w:type="dxa"/>
            <w:vAlign w:val="center"/>
          </w:tcPr>
          <w:p w14:paraId="0F759D1C">
            <w:pPr>
              <w:pStyle w:val="31"/>
              <w:spacing w:line="240" w:lineRule="auto"/>
              <w:jc w:val="center"/>
              <w:rPr>
                <w:rFonts w:ascii="Times New Roman"/>
                <w:color w:val="auto"/>
                <w:sz w:val="24"/>
                <w:szCs w:val="24"/>
              </w:rPr>
            </w:pPr>
          </w:p>
        </w:tc>
        <w:tc>
          <w:tcPr>
            <w:tcW w:w="1119" w:type="dxa"/>
            <w:vAlign w:val="center"/>
          </w:tcPr>
          <w:p w14:paraId="2E18F026">
            <w:pPr>
              <w:pStyle w:val="31"/>
              <w:spacing w:line="240" w:lineRule="auto"/>
              <w:jc w:val="center"/>
              <w:rPr>
                <w:rFonts w:ascii="Times New Roman"/>
                <w:color w:val="auto"/>
                <w:sz w:val="24"/>
                <w:szCs w:val="24"/>
              </w:rPr>
            </w:pPr>
          </w:p>
        </w:tc>
        <w:tc>
          <w:tcPr>
            <w:tcW w:w="2413" w:type="dxa"/>
            <w:vAlign w:val="center"/>
          </w:tcPr>
          <w:p w14:paraId="0DC1A565">
            <w:pPr>
              <w:pStyle w:val="31"/>
              <w:spacing w:line="240" w:lineRule="auto"/>
              <w:jc w:val="center"/>
              <w:rPr>
                <w:rFonts w:ascii="Times New Roman"/>
                <w:color w:val="auto"/>
                <w:sz w:val="24"/>
                <w:szCs w:val="24"/>
              </w:rPr>
            </w:pPr>
          </w:p>
        </w:tc>
        <w:tc>
          <w:tcPr>
            <w:tcW w:w="1825" w:type="dxa"/>
            <w:vAlign w:val="center"/>
          </w:tcPr>
          <w:p w14:paraId="58F2C106">
            <w:pPr>
              <w:pStyle w:val="31"/>
              <w:jc w:val="center"/>
              <w:rPr>
                <w:rFonts w:ascii="Times New Roman"/>
                <w:color w:val="auto"/>
              </w:rPr>
            </w:pPr>
          </w:p>
        </w:tc>
      </w:tr>
      <w:tr w14:paraId="056C3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jc w:val="center"/>
        </w:trPr>
        <w:tc>
          <w:tcPr>
            <w:tcW w:w="1089" w:type="dxa"/>
            <w:vAlign w:val="center"/>
          </w:tcPr>
          <w:p w14:paraId="0704C19B">
            <w:pPr>
              <w:jc w:val="center"/>
              <w:rPr>
                <w:color w:val="auto"/>
                <w:sz w:val="24"/>
                <w:szCs w:val="24"/>
              </w:rPr>
            </w:pPr>
            <w:r>
              <w:rPr>
                <w:color w:val="auto"/>
                <w:sz w:val="24"/>
                <w:szCs w:val="24"/>
              </w:rPr>
              <w:t>2</w:t>
            </w:r>
          </w:p>
        </w:tc>
        <w:tc>
          <w:tcPr>
            <w:tcW w:w="3226" w:type="dxa"/>
            <w:vAlign w:val="center"/>
          </w:tcPr>
          <w:p w14:paraId="5C8406E3">
            <w:pPr>
              <w:jc w:val="center"/>
              <w:rPr>
                <w:color w:val="auto"/>
              </w:rPr>
            </w:pPr>
          </w:p>
        </w:tc>
        <w:tc>
          <w:tcPr>
            <w:tcW w:w="1119" w:type="dxa"/>
            <w:vAlign w:val="center"/>
          </w:tcPr>
          <w:p w14:paraId="5009196A">
            <w:pPr>
              <w:jc w:val="center"/>
              <w:rPr>
                <w:color w:val="auto"/>
              </w:rPr>
            </w:pPr>
          </w:p>
        </w:tc>
        <w:tc>
          <w:tcPr>
            <w:tcW w:w="2413" w:type="dxa"/>
            <w:vAlign w:val="center"/>
          </w:tcPr>
          <w:p w14:paraId="0820E761">
            <w:pPr>
              <w:jc w:val="center"/>
              <w:rPr>
                <w:color w:val="auto"/>
              </w:rPr>
            </w:pPr>
          </w:p>
        </w:tc>
        <w:tc>
          <w:tcPr>
            <w:tcW w:w="1825" w:type="dxa"/>
            <w:vAlign w:val="center"/>
          </w:tcPr>
          <w:p w14:paraId="71592EFB">
            <w:pPr>
              <w:jc w:val="center"/>
              <w:rPr>
                <w:color w:val="auto"/>
                <w:sz w:val="28"/>
              </w:rPr>
            </w:pPr>
          </w:p>
        </w:tc>
      </w:tr>
      <w:tr w14:paraId="0D58B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jc w:val="center"/>
        </w:trPr>
        <w:tc>
          <w:tcPr>
            <w:tcW w:w="1089" w:type="dxa"/>
            <w:vAlign w:val="center"/>
          </w:tcPr>
          <w:p w14:paraId="245DF607">
            <w:pPr>
              <w:jc w:val="center"/>
              <w:rPr>
                <w:color w:val="auto"/>
                <w:sz w:val="24"/>
                <w:szCs w:val="24"/>
              </w:rPr>
            </w:pPr>
            <w:r>
              <w:rPr>
                <w:color w:val="auto"/>
                <w:sz w:val="24"/>
                <w:szCs w:val="24"/>
              </w:rPr>
              <w:t>3</w:t>
            </w:r>
          </w:p>
        </w:tc>
        <w:tc>
          <w:tcPr>
            <w:tcW w:w="3226" w:type="dxa"/>
            <w:vAlign w:val="center"/>
          </w:tcPr>
          <w:p w14:paraId="43B43DB7">
            <w:pPr>
              <w:jc w:val="center"/>
              <w:rPr>
                <w:color w:val="auto"/>
              </w:rPr>
            </w:pPr>
          </w:p>
        </w:tc>
        <w:tc>
          <w:tcPr>
            <w:tcW w:w="1119" w:type="dxa"/>
            <w:vAlign w:val="center"/>
          </w:tcPr>
          <w:p w14:paraId="74B060C8">
            <w:pPr>
              <w:pStyle w:val="31"/>
              <w:spacing w:line="240" w:lineRule="auto"/>
              <w:jc w:val="center"/>
              <w:rPr>
                <w:rFonts w:ascii="Times New Roman"/>
                <w:color w:val="auto"/>
                <w:sz w:val="24"/>
                <w:szCs w:val="24"/>
              </w:rPr>
            </w:pPr>
          </w:p>
        </w:tc>
        <w:tc>
          <w:tcPr>
            <w:tcW w:w="2413" w:type="dxa"/>
            <w:vAlign w:val="center"/>
          </w:tcPr>
          <w:p w14:paraId="2D7DC78D">
            <w:pPr>
              <w:pStyle w:val="31"/>
              <w:spacing w:line="240" w:lineRule="auto"/>
              <w:jc w:val="center"/>
              <w:rPr>
                <w:rFonts w:ascii="Times New Roman"/>
                <w:color w:val="auto"/>
                <w:sz w:val="24"/>
                <w:szCs w:val="24"/>
              </w:rPr>
            </w:pPr>
          </w:p>
        </w:tc>
        <w:tc>
          <w:tcPr>
            <w:tcW w:w="1825" w:type="dxa"/>
            <w:vAlign w:val="center"/>
          </w:tcPr>
          <w:p w14:paraId="4D5D3F78">
            <w:pPr>
              <w:pStyle w:val="31"/>
              <w:jc w:val="center"/>
              <w:rPr>
                <w:rFonts w:ascii="Times New Roman"/>
                <w:color w:val="auto"/>
                <w:szCs w:val="24"/>
              </w:rPr>
            </w:pPr>
          </w:p>
        </w:tc>
      </w:tr>
      <w:tr w14:paraId="45D26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jc w:val="center"/>
        </w:trPr>
        <w:tc>
          <w:tcPr>
            <w:tcW w:w="1089" w:type="dxa"/>
            <w:vAlign w:val="center"/>
          </w:tcPr>
          <w:p w14:paraId="1E85F90F">
            <w:pPr>
              <w:jc w:val="center"/>
              <w:rPr>
                <w:color w:val="auto"/>
                <w:sz w:val="24"/>
                <w:szCs w:val="24"/>
              </w:rPr>
            </w:pPr>
            <w:r>
              <w:rPr>
                <w:color w:val="auto"/>
                <w:sz w:val="24"/>
                <w:szCs w:val="24"/>
              </w:rPr>
              <w:t>4</w:t>
            </w:r>
          </w:p>
        </w:tc>
        <w:tc>
          <w:tcPr>
            <w:tcW w:w="3226" w:type="dxa"/>
            <w:vAlign w:val="center"/>
          </w:tcPr>
          <w:p w14:paraId="14B08812">
            <w:pPr>
              <w:jc w:val="center"/>
              <w:rPr>
                <w:color w:val="auto"/>
              </w:rPr>
            </w:pPr>
          </w:p>
        </w:tc>
        <w:tc>
          <w:tcPr>
            <w:tcW w:w="1119" w:type="dxa"/>
            <w:vAlign w:val="center"/>
          </w:tcPr>
          <w:p w14:paraId="5360E94A">
            <w:pPr>
              <w:jc w:val="center"/>
              <w:rPr>
                <w:color w:val="auto"/>
              </w:rPr>
            </w:pPr>
          </w:p>
        </w:tc>
        <w:tc>
          <w:tcPr>
            <w:tcW w:w="2413" w:type="dxa"/>
            <w:vAlign w:val="center"/>
          </w:tcPr>
          <w:p w14:paraId="47E2920D">
            <w:pPr>
              <w:jc w:val="center"/>
              <w:rPr>
                <w:color w:val="auto"/>
              </w:rPr>
            </w:pPr>
          </w:p>
        </w:tc>
        <w:tc>
          <w:tcPr>
            <w:tcW w:w="1825" w:type="dxa"/>
            <w:vAlign w:val="center"/>
          </w:tcPr>
          <w:p w14:paraId="5A09D237">
            <w:pPr>
              <w:jc w:val="center"/>
              <w:rPr>
                <w:color w:val="auto"/>
              </w:rPr>
            </w:pPr>
          </w:p>
        </w:tc>
      </w:tr>
      <w:tr w14:paraId="1C680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jc w:val="center"/>
        </w:trPr>
        <w:tc>
          <w:tcPr>
            <w:tcW w:w="1089" w:type="dxa"/>
            <w:vAlign w:val="center"/>
          </w:tcPr>
          <w:p w14:paraId="34725647">
            <w:pPr>
              <w:jc w:val="center"/>
              <w:rPr>
                <w:color w:val="auto"/>
                <w:sz w:val="24"/>
                <w:szCs w:val="24"/>
              </w:rPr>
            </w:pPr>
            <w:r>
              <w:rPr>
                <w:rFonts w:hint="eastAsia"/>
                <w:color w:val="auto"/>
                <w:sz w:val="24"/>
                <w:szCs w:val="24"/>
              </w:rPr>
              <w:t>5</w:t>
            </w:r>
          </w:p>
        </w:tc>
        <w:tc>
          <w:tcPr>
            <w:tcW w:w="3226" w:type="dxa"/>
            <w:vAlign w:val="center"/>
          </w:tcPr>
          <w:p w14:paraId="2164C0A8">
            <w:pPr>
              <w:jc w:val="center"/>
              <w:rPr>
                <w:color w:val="auto"/>
              </w:rPr>
            </w:pPr>
          </w:p>
        </w:tc>
        <w:tc>
          <w:tcPr>
            <w:tcW w:w="1119" w:type="dxa"/>
            <w:vAlign w:val="center"/>
          </w:tcPr>
          <w:p w14:paraId="313F9EDC">
            <w:pPr>
              <w:jc w:val="center"/>
              <w:rPr>
                <w:color w:val="auto"/>
              </w:rPr>
            </w:pPr>
          </w:p>
        </w:tc>
        <w:tc>
          <w:tcPr>
            <w:tcW w:w="2413" w:type="dxa"/>
            <w:vAlign w:val="center"/>
          </w:tcPr>
          <w:p w14:paraId="70BE2FBE">
            <w:pPr>
              <w:jc w:val="center"/>
              <w:rPr>
                <w:color w:val="auto"/>
              </w:rPr>
            </w:pPr>
          </w:p>
        </w:tc>
        <w:tc>
          <w:tcPr>
            <w:tcW w:w="1825" w:type="dxa"/>
            <w:vAlign w:val="center"/>
          </w:tcPr>
          <w:p w14:paraId="4B3A7359">
            <w:pPr>
              <w:jc w:val="center"/>
              <w:rPr>
                <w:color w:val="auto"/>
                <w:sz w:val="28"/>
              </w:rPr>
            </w:pPr>
          </w:p>
        </w:tc>
      </w:tr>
      <w:tr w14:paraId="20C4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jc w:val="center"/>
        </w:trPr>
        <w:tc>
          <w:tcPr>
            <w:tcW w:w="1089" w:type="dxa"/>
            <w:vAlign w:val="center"/>
          </w:tcPr>
          <w:p w14:paraId="5E4B0495">
            <w:pPr>
              <w:jc w:val="center"/>
              <w:rPr>
                <w:color w:val="auto"/>
                <w:sz w:val="24"/>
                <w:szCs w:val="24"/>
              </w:rPr>
            </w:pPr>
            <w:r>
              <w:rPr>
                <w:rFonts w:hint="eastAsia"/>
                <w:color w:val="auto"/>
                <w:sz w:val="24"/>
                <w:szCs w:val="24"/>
              </w:rPr>
              <w:t>6</w:t>
            </w:r>
          </w:p>
        </w:tc>
        <w:tc>
          <w:tcPr>
            <w:tcW w:w="3226" w:type="dxa"/>
            <w:vAlign w:val="center"/>
          </w:tcPr>
          <w:p w14:paraId="7EFBAF4D">
            <w:pPr>
              <w:jc w:val="center"/>
              <w:rPr>
                <w:color w:val="auto"/>
              </w:rPr>
            </w:pPr>
          </w:p>
        </w:tc>
        <w:tc>
          <w:tcPr>
            <w:tcW w:w="1119" w:type="dxa"/>
            <w:vAlign w:val="center"/>
          </w:tcPr>
          <w:p w14:paraId="188121C0">
            <w:pPr>
              <w:pStyle w:val="286"/>
              <w:jc w:val="center"/>
              <w:rPr>
                <w:rFonts w:ascii="Times New Roman" w:hAnsi="Times New Roman"/>
                <w:color w:val="auto"/>
                <w:szCs w:val="24"/>
              </w:rPr>
            </w:pPr>
          </w:p>
        </w:tc>
        <w:tc>
          <w:tcPr>
            <w:tcW w:w="2413" w:type="dxa"/>
            <w:vAlign w:val="center"/>
          </w:tcPr>
          <w:p w14:paraId="2CF87122">
            <w:pPr>
              <w:pStyle w:val="286"/>
              <w:jc w:val="center"/>
              <w:rPr>
                <w:rFonts w:ascii="Times New Roman" w:hAnsi="Times New Roman"/>
                <w:color w:val="auto"/>
                <w:szCs w:val="24"/>
              </w:rPr>
            </w:pPr>
          </w:p>
        </w:tc>
        <w:tc>
          <w:tcPr>
            <w:tcW w:w="1825" w:type="dxa"/>
            <w:vAlign w:val="center"/>
          </w:tcPr>
          <w:p w14:paraId="5218E989">
            <w:pPr>
              <w:pStyle w:val="286"/>
              <w:jc w:val="center"/>
              <w:rPr>
                <w:rFonts w:ascii="Times New Roman" w:hAnsi="Times New Roman"/>
                <w:color w:val="auto"/>
              </w:rPr>
            </w:pPr>
          </w:p>
        </w:tc>
      </w:tr>
      <w:tr w14:paraId="018B0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jc w:val="center"/>
        </w:trPr>
        <w:tc>
          <w:tcPr>
            <w:tcW w:w="1089" w:type="dxa"/>
            <w:vAlign w:val="center"/>
          </w:tcPr>
          <w:p w14:paraId="1CED8CF3">
            <w:pPr>
              <w:jc w:val="center"/>
              <w:rPr>
                <w:color w:val="auto"/>
                <w:sz w:val="24"/>
                <w:szCs w:val="24"/>
              </w:rPr>
            </w:pPr>
            <w:r>
              <w:rPr>
                <w:rFonts w:hint="eastAsia"/>
                <w:color w:val="auto"/>
                <w:sz w:val="24"/>
                <w:szCs w:val="24"/>
              </w:rPr>
              <w:t>7</w:t>
            </w:r>
          </w:p>
        </w:tc>
        <w:tc>
          <w:tcPr>
            <w:tcW w:w="3226" w:type="dxa"/>
            <w:vAlign w:val="center"/>
          </w:tcPr>
          <w:p w14:paraId="6044F4F5">
            <w:pPr>
              <w:jc w:val="center"/>
              <w:rPr>
                <w:color w:val="auto"/>
              </w:rPr>
            </w:pPr>
          </w:p>
        </w:tc>
        <w:tc>
          <w:tcPr>
            <w:tcW w:w="1119" w:type="dxa"/>
            <w:vAlign w:val="center"/>
          </w:tcPr>
          <w:p w14:paraId="50763B10">
            <w:pPr>
              <w:pStyle w:val="286"/>
              <w:jc w:val="center"/>
              <w:rPr>
                <w:rFonts w:ascii="Times New Roman" w:hAnsi="Times New Roman"/>
                <w:color w:val="auto"/>
                <w:szCs w:val="24"/>
              </w:rPr>
            </w:pPr>
          </w:p>
        </w:tc>
        <w:tc>
          <w:tcPr>
            <w:tcW w:w="2413" w:type="dxa"/>
            <w:vAlign w:val="center"/>
          </w:tcPr>
          <w:p w14:paraId="62C4A968">
            <w:pPr>
              <w:pStyle w:val="286"/>
              <w:jc w:val="center"/>
              <w:rPr>
                <w:rFonts w:ascii="Times New Roman" w:hAnsi="Times New Roman"/>
                <w:color w:val="auto"/>
                <w:szCs w:val="24"/>
              </w:rPr>
            </w:pPr>
          </w:p>
        </w:tc>
        <w:tc>
          <w:tcPr>
            <w:tcW w:w="1825" w:type="dxa"/>
            <w:vAlign w:val="center"/>
          </w:tcPr>
          <w:p w14:paraId="2DA3D765">
            <w:pPr>
              <w:pStyle w:val="286"/>
              <w:jc w:val="center"/>
              <w:rPr>
                <w:rFonts w:ascii="Times New Roman" w:hAnsi="Times New Roman"/>
                <w:color w:val="auto"/>
              </w:rPr>
            </w:pPr>
          </w:p>
        </w:tc>
      </w:tr>
      <w:tr w14:paraId="3F5D9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jc w:val="center"/>
        </w:trPr>
        <w:tc>
          <w:tcPr>
            <w:tcW w:w="1089" w:type="dxa"/>
            <w:vAlign w:val="center"/>
          </w:tcPr>
          <w:p w14:paraId="4D3E2EAB">
            <w:pPr>
              <w:jc w:val="center"/>
              <w:rPr>
                <w:color w:val="auto"/>
              </w:rPr>
            </w:pPr>
            <w:r>
              <w:rPr>
                <w:rFonts w:hint="eastAsia" w:ascii="宋体" w:hAnsi="宋体" w:cs="宋体"/>
                <w:color w:val="auto"/>
              </w:rPr>
              <w:t>……</w:t>
            </w:r>
          </w:p>
        </w:tc>
        <w:tc>
          <w:tcPr>
            <w:tcW w:w="3226" w:type="dxa"/>
            <w:vAlign w:val="center"/>
          </w:tcPr>
          <w:p w14:paraId="65913235">
            <w:pPr>
              <w:jc w:val="center"/>
              <w:rPr>
                <w:color w:val="auto"/>
              </w:rPr>
            </w:pPr>
          </w:p>
        </w:tc>
        <w:tc>
          <w:tcPr>
            <w:tcW w:w="1119" w:type="dxa"/>
            <w:vAlign w:val="center"/>
          </w:tcPr>
          <w:p w14:paraId="0E4009A0">
            <w:pPr>
              <w:pStyle w:val="286"/>
              <w:jc w:val="center"/>
              <w:rPr>
                <w:rFonts w:ascii="Times New Roman" w:hAnsi="Times New Roman"/>
                <w:color w:val="auto"/>
                <w:szCs w:val="24"/>
              </w:rPr>
            </w:pPr>
          </w:p>
        </w:tc>
        <w:tc>
          <w:tcPr>
            <w:tcW w:w="2413" w:type="dxa"/>
            <w:vAlign w:val="center"/>
          </w:tcPr>
          <w:p w14:paraId="49BE07F4">
            <w:pPr>
              <w:pStyle w:val="286"/>
              <w:jc w:val="center"/>
              <w:rPr>
                <w:rFonts w:ascii="Times New Roman" w:hAnsi="Times New Roman"/>
                <w:color w:val="auto"/>
                <w:szCs w:val="24"/>
              </w:rPr>
            </w:pPr>
          </w:p>
        </w:tc>
        <w:tc>
          <w:tcPr>
            <w:tcW w:w="1825" w:type="dxa"/>
            <w:vAlign w:val="center"/>
          </w:tcPr>
          <w:p w14:paraId="1A440AC3">
            <w:pPr>
              <w:pStyle w:val="286"/>
              <w:jc w:val="center"/>
              <w:rPr>
                <w:rFonts w:ascii="Times New Roman" w:hAnsi="Times New Roman"/>
                <w:color w:val="auto"/>
              </w:rPr>
            </w:pPr>
          </w:p>
        </w:tc>
      </w:tr>
      <w:tr w14:paraId="38E32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jc w:val="center"/>
        </w:trPr>
        <w:tc>
          <w:tcPr>
            <w:tcW w:w="5434" w:type="dxa"/>
            <w:gridSpan w:val="3"/>
            <w:vAlign w:val="center"/>
          </w:tcPr>
          <w:p w14:paraId="054E9266">
            <w:pPr>
              <w:pStyle w:val="286"/>
              <w:jc w:val="center"/>
              <w:rPr>
                <w:rFonts w:ascii="Times New Roman" w:hAnsi="Times New Roman"/>
                <w:bCs/>
                <w:color w:val="auto"/>
              </w:rPr>
            </w:pPr>
            <w:r>
              <w:rPr>
                <w:rFonts w:hint="eastAsia" w:ascii="Times New Roman" w:hAnsi="Times New Roman"/>
                <w:bCs/>
                <w:color w:val="auto"/>
              </w:rPr>
              <w:t>合计总价（元）</w:t>
            </w:r>
          </w:p>
        </w:tc>
        <w:tc>
          <w:tcPr>
            <w:tcW w:w="4238" w:type="dxa"/>
            <w:gridSpan w:val="2"/>
            <w:vAlign w:val="center"/>
          </w:tcPr>
          <w:p w14:paraId="32531897">
            <w:pPr>
              <w:pStyle w:val="286"/>
              <w:rPr>
                <w:rFonts w:ascii="Times New Roman" w:hAnsi="Times New Roman"/>
                <w:color w:val="auto"/>
              </w:rPr>
            </w:pPr>
            <w:r>
              <w:rPr>
                <w:rFonts w:hint="eastAsia" w:ascii="Times New Roman" w:hAnsi="Times New Roman"/>
                <w:color w:val="auto"/>
              </w:rPr>
              <w:t>¥</w:t>
            </w:r>
          </w:p>
        </w:tc>
      </w:tr>
    </w:tbl>
    <w:p w14:paraId="7C98C54D">
      <w:pPr>
        <w:spacing w:line="460" w:lineRule="exact"/>
        <w:rPr>
          <w:bCs/>
          <w:color w:val="auto"/>
          <w:sz w:val="24"/>
        </w:rPr>
      </w:pPr>
      <w:r>
        <w:rPr>
          <w:bCs/>
          <w:color w:val="auto"/>
          <w:sz w:val="24"/>
        </w:rPr>
        <w:t>注：1、</w:t>
      </w:r>
      <w:r>
        <w:rPr>
          <w:rFonts w:hint="eastAsia"/>
          <w:bCs/>
          <w:color w:val="auto"/>
          <w:sz w:val="24"/>
        </w:rPr>
        <w:t>供应商</w:t>
      </w:r>
      <w:r>
        <w:rPr>
          <w:bCs/>
          <w:color w:val="auto"/>
          <w:sz w:val="24"/>
        </w:rPr>
        <w:t>应将本项目所投入的有关</w:t>
      </w:r>
      <w:r>
        <w:rPr>
          <w:color w:val="auto"/>
          <w:sz w:val="24"/>
          <w:szCs w:val="24"/>
        </w:rPr>
        <w:t>费用</w:t>
      </w:r>
      <w:r>
        <w:rPr>
          <w:bCs/>
          <w:color w:val="auto"/>
          <w:sz w:val="24"/>
        </w:rPr>
        <w:t>情况分类别依次填报在上述表格中。</w:t>
      </w:r>
    </w:p>
    <w:p w14:paraId="0BD61D20">
      <w:pPr>
        <w:spacing w:line="500" w:lineRule="exact"/>
        <w:ind w:firstLine="480"/>
        <w:rPr>
          <w:color w:val="auto"/>
          <w:sz w:val="24"/>
          <w:szCs w:val="24"/>
        </w:rPr>
      </w:pPr>
      <w:r>
        <w:rPr>
          <w:color w:val="auto"/>
          <w:sz w:val="24"/>
          <w:szCs w:val="24"/>
        </w:rPr>
        <w:t>2、表中</w:t>
      </w:r>
      <w:r>
        <w:rPr>
          <w:rFonts w:hint="eastAsia" w:cs="宋体"/>
          <w:color w:val="auto"/>
          <w:sz w:val="24"/>
          <w:szCs w:val="24"/>
        </w:rPr>
        <w:t>“合计总价（元）”应与“报价一览表”中“报价总价”相</w:t>
      </w:r>
      <w:r>
        <w:rPr>
          <w:color w:val="auto"/>
          <w:sz w:val="24"/>
          <w:szCs w:val="24"/>
        </w:rPr>
        <w:t>一致。</w:t>
      </w:r>
    </w:p>
    <w:p w14:paraId="30281BBC">
      <w:pPr>
        <w:spacing w:line="500" w:lineRule="exact"/>
        <w:ind w:firstLine="480"/>
        <w:rPr>
          <w:color w:val="auto"/>
          <w:sz w:val="24"/>
          <w:szCs w:val="24"/>
        </w:rPr>
      </w:pPr>
      <w:r>
        <w:rPr>
          <w:color w:val="auto"/>
          <w:sz w:val="24"/>
          <w:szCs w:val="24"/>
        </w:rPr>
        <w:t>3、合计总价请保留小数点后两位。</w:t>
      </w:r>
    </w:p>
    <w:p w14:paraId="0DBCBD3D">
      <w:pPr>
        <w:spacing w:line="500" w:lineRule="exact"/>
        <w:ind w:firstLine="480"/>
        <w:rPr>
          <w:color w:val="auto"/>
          <w:sz w:val="24"/>
          <w:szCs w:val="24"/>
        </w:rPr>
      </w:pPr>
      <w:r>
        <w:rPr>
          <w:rFonts w:hint="eastAsia"/>
          <w:color w:val="auto"/>
          <w:sz w:val="24"/>
          <w:szCs w:val="24"/>
        </w:rPr>
        <w:t>4</w:t>
      </w:r>
      <w:r>
        <w:rPr>
          <w:color w:val="auto"/>
          <w:sz w:val="24"/>
          <w:szCs w:val="24"/>
        </w:rPr>
        <w:t>、因表述含糊导致的评审风险将由</w:t>
      </w:r>
      <w:r>
        <w:rPr>
          <w:rFonts w:hint="eastAsia"/>
          <w:color w:val="auto"/>
          <w:sz w:val="24"/>
          <w:szCs w:val="24"/>
        </w:rPr>
        <w:t>供应商</w:t>
      </w:r>
      <w:r>
        <w:rPr>
          <w:color w:val="auto"/>
          <w:sz w:val="24"/>
          <w:szCs w:val="24"/>
        </w:rPr>
        <w:t>承担。</w:t>
      </w:r>
    </w:p>
    <w:p w14:paraId="1CB47AA5">
      <w:pPr>
        <w:spacing w:line="500" w:lineRule="exact"/>
        <w:ind w:firstLine="480"/>
        <w:rPr>
          <w:bCs/>
          <w:color w:val="auto"/>
          <w:sz w:val="24"/>
        </w:rPr>
      </w:pPr>
      <w:r>
        <w:rPr>
          <w:rFonts w:hint="eastAsia"/>
          <w:color w:val="auto"/>
          <w:sz w:val="24"/>
          <w:szCs w:val="24"/>
        </w:rPr>
        <w:t>5</w:t>
      </w:r>
      <w:r>
        <w:rPr>
          <w:color w:val="auto"/>
          <w:sz w:val="24"/>
          <w:szCs w:val="24"/>
        </w:rPr>
        <w:t>、如有需要说明的事项，请在备注中列明。</w:t>
      </w:r>
    </w:p>
    <w:p w14:paraId="52D1C93B">
      <w:pPr>
        <w:pStyle w:val="3"/>
        <w:rPr>
          <w:rFonts w:ascii="Times New Roman" w:hAnsi="Times New Roman"/>
          <w:color w:val="auto"/>
        </w:rPr>
      </w:pPr>
    </w:p>
    <w:p w14:paraId="5521CC9A">
      <w:pPr>
        <w:pStyle w:val="5"/>
        <w:rPr>
          <w:color w:val="auto"/>
        </w:rPr>
      </w:pPr>
      <w:bookmarkStart w:id="144" w:name="_Toc459982115"/>
      <w:bookmarkStart w:id="145" w:name="_Toc459038884"/>
      <w:bookmarkStart w:id="146" w:name="_Toc502823206"/>
      <w:r>
        <w:rPr>
          <w:color w:val="auto"/>
        </w:rPr>
        <w:br w:type="page" w:clear="all"/>
      </w:r>
      <w:bookmarkStart w:id="147" w:name="_Toc26552"/>
      <w:bookmarkStart w:id="148" w:name="_Toc13073"/>
      <w:bookmarkStart w:id="149" w:name="_Toc6176"/>
      <w:r>
        <w:rPr>
          <w:rFonts w:hint="eastAsia"/>
          <w:color w:val="auto"/>
        </w:rPr>
        <w:t xml:space="preserve">附件3 </w:t>
      </w:r>
      <w:r>
        <w:rPr>
          <w:color w:val="auto"/>
        </w:rPr>
        <w:t>项目服务要求响应及偏离表</w:t>
      </w:r>
      <w:bookmarkEnd w:id="144"/>
      <w:bookmarkEnd w:id="145"/>
      <w:bookmarkEnd w:id="146"/>
      <w:bookmarkEnd w:id="147"/>
      <w:bookmarkEnd w:id="148"/>
      <w:bookmarkEnd w:id="149"/>
    </w:p>
    <w:tbl>
      <w:tblPr>
        <w:tblStyle w:val="5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2640"/>
        <w:gridCol w:w="2627"/>
        <w:gridCol w:w="1403"/>
        <w:gridCol w:w="2210"/>
      </w:tblGrid>
      <w:tr w14:paraId="20BC6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787" w:type="dxa"/>
            <w:vAlign w:val="center"/>
          </w:tcPr>
          <w:p w14:paraId="0CB30691">
            <w:pPr>
              <w:jc w:val="center"/>
              <w:rPr>
                <w:b/>
                <w:color w:val="auto"/>
                <w:sz w:val="24"/>
                <w:szCs w:val="24"/>
              </w:rPr>
            </w:pPr>
            <w:r>
              <w:rPr>
                <w:b/>
                <w:color w:val="auto"/>
                <w:sz w:val="24"/>
                <w:szCs w:val="24"/>
              </w:rPr>
              <w:t>序号</w:t>
            </w:r>
          </w:p>
        </w:tc>
        <w:tc>
          <w:tcPr>
            <w:tcW w:w="2640" w:type="dxa"/>
            <w:vAlign w:val="center"/>
          </w:tcPr>
          <w:p w14:paraId="4B0F9B41">
            <w:pPr>
              <w:jc w:val="center"/>
              <w:rPr>
                <w:b/>
                <w:color w:val="auto"/>
                <w:sz w:val="24"/>
                <w:szCs w:val="24"/>
              </w:rPr>
            </w:pPr>
            <w:r>
              <w:rPr>
                <w:b/>
                <w:color w:val="auto"/>
                <w:sz w:val="24"/>
                <w:szCs w:val="24"/>
              </w:rPr>
              <w:t>磋商项目服务要求</w:t>
            </w:r>
          </w:p>
        </w:tc>
        <w:tc>
          <w:tcPr>
            <w:tcW w:w="2627" w:type="dxa"/>
            <w:vAlign w:val="center"/>
          </w:tcPr>
          <w:p w14:paraId="30C3D765">
            <w:pPr>
              <w:jc w:val="center"/>
              <w:rPr>
                <w:b/>
                <w:color w:val="auto"/>
                <w:sz w:val="24"/>
                <w:szCs w:val="24"/>
              </w:rPr>
            </w:pPr>
            <w:r>
              <w:rPr>
                <w:b/>
                <w:color w:val="auto"/>
                <w:sz w:val="24"/>
                <w:szCs w:val="24"/>
              </w:rPr>
              <w:t>供应商提供服务承诺</w:t>
            </w:r>
          </w:p>
        </w:tc>
        <w:tc>
          <w:tcPr>
            <w:tcW w:w="1403" w:type="dxa"/>
            <w:vAlign w:val="center"/>
          </w:tcPr>
          <w:p w14:paraId="642AFBCE">
            <w:pPr>
              <w:jc w:val="center"/>
              <w:rPr>
                <w:b/>
                <w:color w:val="auto"/>
                <w:sz w:val="24"/>
                <w:szCs w:val="24"/>
              </w:rPr>
            </w:pPr>
            <w:r>
              <w:rPr>
                <w:b/>
                <w:color w:val="auto"/>
                <w:sz w:val="24"/>
                <w:szCs w:val="24"/>
              </w:rPr>
              <w:t>有无偏离</w:t>
            </w:r>
          </w:p>
        </w:tc>
        <w:tc>
          <w:tcPr>
            <w:tcW w:w="2210" w:type="dxa"/>
            <w:vAlign w:val="center"/>
          </w:tcPr>
          <w:p w14:paraId="600AFDED">
            <w:pPr>
              <w:jc w:val="center"/>
              <w:rPr>
                <w:b/>
                <w:color w:val="auto"/>
                <w:sz w:val="24"/>
                <w:szCs w:val="24"/>
              </w:rPr>
            </w:pPr>
            <w:r>
              <w:rPr>
                <w:b/>
                <w:color w:val="auto"/>
                <w:sz w:val="24"/>
                <w:szCs w:val="24"/>
              </w:rPr>
              <w:t>偏离内容及原因</w:t>
            </w:r>
          </w:p>
        </w:tc>
      </w:tr>
      <w:tr w14:paraId="3C4F7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Align w:val="center"/>
          </w:tcPr>
          <w:p w14:paraId="7633063B">
            <w:pPr>
              <w:jc w:val="center"/>
              <w:rPr>
                <w:color w:val="auto"/>
                <w:sz w:val="24"/>
                <w:szCs w:val="24"/>
              </w:rPr>
            </w:pPr>
            <w:r>
              <w:rPr>
                <w:color w:val="auto"/>
                <w:sz w:val="24"/>
                <w:szCs w:val="24"/>
              </w:rPr>
              <w:t>1</w:t>
            </w:r>
          </w:p>
        </w:tc>
        <w:tc>
          <w:tcPr>
            <w:tcW w:w="2640" w:type="dxa"/>
            <w:vAlign w:val="center"/>
          </w:tcPr>
          <w:p w14:paraId="1E82F634">
            <w:pPr>
              <w:jc w:val="center"/>
              <w:rPr>
                <w:color w:val="auto"/>
                <w:sz w:val="24"/>
                <w:szCs w:val="24"/>
              </w:rPr>
            </w:pPr>
          </w:p>
        </w:tc>
        <w:tc>
          <w:tcPr>
            <w:tcW w:w="2627" w:type="dxa"/>
            <w:vAlign w:val="center"/>
          </w:tcPr>
          <w:p w14:paraId="212BEA9B">
            <w:pPr>
              <w:jc w:val="center"/>
              <w:rPr>
                <w:color w:val="auto"/>
                <w:sz w:val="24"/>
                <w:szCs w:val="24"/>
              </w:rPr>
            </w:pPr>
          </w:p>
        </w:tc>
        <w:tc>
          <w:tcPr>
            <w:tcW w:w="1403" w:type="dxa"/>
            <w:vAlign w:val="center"/>
          </w:tcPr>
          <w:p w14:paraId="2CD3FB40">
            <w:pPr>
              <w:jc w:val="center"/>
              <w:rPr>
                <w:color w:val="auto"/>
                <w:sz w:val="24"/>
                <w:szCs w:val="24"/>
              </w:rPr>
            </w:pPr>
          </w:p>
        </w:tc>
        <w:tc>
          <w:tcPr>
            <w:tcW w:w="2210" w:type="dxa"/>
            <w:vAlign w:val="center"/>
          </w:tcPr>
          <w:p w14:paraId="5B5A8FE7">
            <w:pPr>
              <w:jc w:val="center"/>
              <w:rPr>
                <w:color w:val="auto"/>
                <w:sz w:val="24"/>
                <w:szCs w:val="24"/>
              </w:rPr>
            </w:pPr>
          </w:p>
        </w:tc>
      </w:tr>
      <w:tr w14:paraId="350C8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87" w:type="dxa"/>
            <w:vAlign w:val="center"/>
          </w:tcPr>
          <w:p w14:paraId="50ECE18C">
            <w:pPr>
              <w:jc w:val="center"/>
              <w:rPr>
                <w:color w:val="auto"/>
                <w:sz w:val="24"/>
                <w:szCs w:val="24"/>
              </w:rPr>
            </w:pPr>
            <w:r>
              <w:rPr>
                <w:color w:val="auto"/>
                <w:sz w:val="24"/>
                <w:szCs w:val="24"/>
              </w:rPr>
              <w:t>2</w:t>
            </w:r>
          </w:p>
        </w:tc>
        <w:tc>
          <w:tcPr>
            <w:tcW w:w="2640" w:type="dxa"/>
            <w:vAlign w:val="center"/>
          </w:tcPr>
          <w:p w14:paraId="2A95A841">
            <w:pPr>
              <w:jc w:val="center"/>
              <w:rPr>
                <w:color w:val="auto"/>
                <w:sz w:val="24"/>
                <w:szCs w:val="24"/>
              </w:rPr>
            </w:pPr>
          </w:p>
        </w:tc>
        <w:tc>
          <w:tcPr>
            <w:tcW w:w="2627" w:type="dxa"/>
            <w:vAlign w:val="center"/>
          </w:tcPr>
          <w:p w14:paraId="4A648AC6">
            <w:pPr>
              <w:jc w:val="center"/>
              <w:rPr>
                <w:color w:val="auto"/>
                <w:sz w:val="24"/>
                <w:szCs w:val="24"/>
              </w:rPr>
            </w:pPr>
          </w:p>
        </w:tc>
        <w:tc>
          <w:tcPr>
            <w:tcW w:w="1403" w:type="dxa"/>
            <w:vAlign w:val="center"/>
          </w:tcPr>
          <w:p w14:paraId="0E2C9A83">
            <w:pPr>
              <w:jc w:val="center"/>
              <w:rPr>
                <w:color w:val="auto"/>
                <w:sz w:val="24"/>
                <w:szCs w:val="24"/>
              </w:rPr>
            </w:pPr>
          </w:p>
        </w:tc>
        <w:tc>
          <w:tcPr>
            <w:tcW w:w="2210" w:type="dxa"/>
            <w:vAlign w:val="center"/>
          </w:tcPr>
          <w:p w14:paraId="60303921">
            <w:pPr>
              <w:jc w:val="center"/>
              <w:rPr>
                <w:color w:val="auto"/>
                <w:sz w:val="24"/>
                <w:szCs w:val="24"/>
              </w:rPr>
            </w:pPr>
          </w:p>
        </w:tc>
      </w:tr>
      <w:tr w14:paraId="5BF09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Align w:val="center"/>
          </w:tcPr>
          <w:p w14:paraId="3BB9F68F">
            <w:pPr>
              <w:jc w:val="center"/>
              <w:rPr>
                <w:color w:val="auto"/>
                <w:sz w:val="24"/>
                <w:szCs w:val="24"/>
              </w:rPr>
            </w:pPr>
            <w:r>
              <w:rPr>
                <w:color w:val="auto"/>
                <w:sz w:val="24"/>
                <w:szCs w:val="24"/>
              </w:rPr>
              <w:t>3</w:t>
            </w:r>
          </w:p>
        </w:tc>
        <w:tc>
          <w:tcPr>
            <w:tcW w:w="2640" w:type="dxa"/>
            <w:vAlign w:val="center"/>
          </w:tcPr>
          <w:p w14:paraId="6834A137">
            <w:pPr>
              <w:jc w:val="center"/>
              <w:rPr>
                <w:color w:val="auto"/>
                <w:sz w:val="24"/>
                <w:szCs w:val="24"/>
              </w:rPr>
            </w:pPr>
          </w:p>
        </w:tc>
        <w:tc>
          <w:tcPr>
            <w:tcW w:w="2627" w:type="dxa"/>
            <w:vAlign w:val="center"/>
          </w:tcPr>
          <w:p w14:paraId="4619AFF2">
            <w:pPr>
              <w:jc w:val="center"/>
              <w:rPr>
                <w:color w:val="auto"/>
                <w:sz w:val="24"/>
                <w:szCs w:val="24"/>
              </w:rPr>
            </w:pPr>
          </w:p>
        </w:tc>
        <w:tc>
          <w:tcPr>
            <w:tcW w:w="1403" w:type="dxa"/>
            <w:vAlign w:val="center"/>
          </w:tcPr>
          <w:p w14:paraId="627F9F25">
            <w:pPr>
              <w:jc w:val="center"/>
              <w:rPr>
                <w:color w:val="auto"/>
                <w:sz w:val="24"/>
                <w:szCs w:val="24"/>
              </w:rPr>
            </w:pPr>
          </w:p>
        </w:tc>
        <w:tc>
          <w:tcPr>
            <w:tcW w:w="2210" w:type="dxa"/>
            <w:vAlign w:val="center"/>
          </w:tcPr>
          <w:p w14:paraId="55092C2D">
            <w:pPr>
              <w:jc w:val="center"/>
              <w:rPr>
                <w:color w:val="auto"/>
                <w:sz w:val="24"/>
                <w:szCs w:val="24"/>
              </w:rPr>
            </w:pPr>
          </w:p>
        </w:tc>
      </w:tr>
      <w:tr w14:paraId="124DE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Align w:val="center"/>
          </w:tcPr>
          <w:p w14:paraId="38C7D7B8">
            <w:pPr>
              <w:jc w:val="center"/>
              <w:rPr>
                <w:color w:val="auto"/>
                <w:sz w:val="24"/>
                <w:szCs w:val="24"/>
              </w:rPr>
            </w:pPr>
            <w:r>
              <w:rPr>
                <w:rFonts w:hint="eastAsia"/>
                <w:color w:val="auto"/>
                <w:sz w:val="24"/>
                <w:szCs w:val="24"/>
              </w:rPr>
              <w:t>4</w:t>
            </w:r>
          </w:p>
        </w:tc>
        <w:tc>
          <w:tcPr>
            <w:tcW w:w="2640" w:type="dxa"/>
            <w:vAlign w:val="center"/>
          </w:tcPr>
          <w:p w14:paraId="65AB8F8C">
            <w:pPr>
              <w:jc w:val="center"/>
              <w:rPr>
                <w:color w:val="auto"/>
                <w:sz w:val="24"/>
                <w:szCs w:val="24"/>
              </w:rPr>
            </w:pPr>
          </w:p>
        </w:tc>
        <w:tc>
          <w:tcPr>
            <w:tcW w:w="2627" w:type="dxa"/>
            <w:vAlign w:val="center"/>
          </w:tcPr>
          <w:p w14:paraId="01AEE8AC">
            <w:pPr>
              <w:jc w:val="center"/>
              <w:rPr>
                <w:color w:val="auto"/>
                <w:sz w:val="24"/>
                <w:szCs w:val="24"/>
              </w:rPr>
            </w:pPr>
          </w:p>
        </w:tc>
        <w:tc>
          <w:tcPr>
            <w:tcW w:w="1403" w:type="dxa"/>
            <w:vAlign w:val="center"/>
          </w:tcPr>
          <w:p w14:paraId="2E20B6CC">
            <w:pPr>
              <w:jc w:val="center"/>
              <w:rPr>
                <w:color w:val="auto"/>
                <w:sz w:val="24"/>
                <w:szCs w:val="24"/>
              </w:rPr>
            </w:pPr>
          </w:p>
        </w:tc>
        <w:tc>
          <w:tcPr>
            <w:tcW w:w="2210" w:type="dxa"/>
            <w:vAlign w:val="center"/>
          </w:tcPr>
          <w:p w14:paraId="38117F50">
            <w:pPr>
              <w:jc w:val="center"/>
              <w:rPr>
                <w:color w:val="auto"/>
                <w:sz w:val="24"/>
                <w:szCs w:val="24"/>
              </w:rPr>
            </w:pPr>
          </w:p>
        </w:tc>
      </w:tr>
      <w:tr w14:paraId="38A2F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87" w:type="dxa"/>
            <w:vAlign w:val="center"/>
          </w:tcPr>
          <w:p w14:paraId="5222FF7D">
            <w:pPr>
              <w:jc w:val="center"/>
              <w:rPr>
                <w:color w:val="auto"/>
                <w:sz w:val="24"/>
                <w:szCs w:val="24"/>
              </w:rPr>
            </w:pPr>
            <w:r>
              <w:rPr>
                <w:rFonts w:hint="eastAsia"/>
                <w:color w:val="auto"/>
                <w:sz w:val="24"/>
                <w:szCs w:val="24"/>
              </w:rPr>
              <w:t>5</w:t>
            </w:r>
          </w:p>
        </w:tc>
        <w:tc>
          <w:tcPr>
            <w:tcW w:w="2640" w:type="dxa"/>
            <w:vAlign w:val="center"/>
          </w:tcPr>
          <w:p w14:paraId="23B044FD">
            <w:pPr>
              <w:jc w:val="center"/>
              <w:rPr>
                <w:color w:val="auto"/>
                <w:sz w:val="24"/>
                <w:szCs w:val="24"/>
              </w:rPr>
            </w:pPr>
          </w:p>
        </w:tc>
        <w:tc>
          <w:tcPr>
            <w:tcW w:w="2627" w:type="dxa"/>
            <w:vAlign w:val="center"/>
          </w:tcPr>
          <w:p w14:paraId="3C536AF0">
            <w:pPr>
              <w:jc w:val="center"/>
              <w:rPr>
                <w:color w:val="auto"/>
                <w:sz w:val="24"/>
                <w:szCs w:val="24"/>
              </w:rPr>
            </w:pPr>
          </w:p>
        </w:tc>
        <w:tc>
          <w:tcPr>
            <w:tcW w:w="1403" w:type="dxa"/>
            <w:vAlign w:val="center"/>
          </w:tcPr>
          <w:p w14:paraId="673A4889">
            <w:pPr>
              <w:jc w:val="center"/>
              <w:rPr>
                <w:color w:val="auto"/>
                <w:sz w:val="24"/>
                <w:szCs w:val="24"/>
              </w:rPr>
            </w:pPr>
          </w:p>
        </w:tc>
        <w:tc>
          <w:tcPr>
            <w:tcW w:w="2210" w:type="dxa"/>
            <w:vAlign w:val="center"/>
          </w:tcPr>
          <w:p w14:paraId="41FD9752">
            <w:pPr>
              <w:jc w:val="center"/>
              <w:rPr>
                <w:color w:val="auto"/>
                <w:sz w:val="24"/>
                <w:szCs w:val="24"/>
              </w:rPr>
            </w:pPr>
          </w:p>
        </w:tc>
      </w:tr>
      <w:tr w14:paraId="73683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Align w:val="center"/>
          </w:tcPr>
          <w:p w14:paraId="60377659">
            <w:pPr>
              <w:jc w:val="center"/>
              <w:rPr>
                <w:color w:val="auto"/>
                <w:sz w:val="24"/>
                <w:szCs w:val="24"/>
              </w:rPr>
            </w:pPr>
            <w:r>
              <w:rPr>
                <w:color w:val="auto"/>
                <w:sz w:val="24"/>
                <w:szCs w:val="24"/>
              </w:rPr>
              <w:t>……</w:t>
            </w:r>
          </w:p>
        </w:tc>
        <w:tc>
          <w:tcPr>
            <w:tcW w:w="2640" w:type="dxa"/>
            <w:vAlign w:val="center"/>
          </w:tcPr>
          <w:p w14:paraId="4AC420C1">
            <w:pPr>
              <w:jc w:val="center"/>
              <w:rPr>
                <w:color w:val="auto"/>
                <w:sz w:val="24"/>
                <w:szCs w:val="24"/>
              </w:rPr>
            </w:pPr>
          </w:p>
        </w:tc>
        <w:tc>
          <w:tcPr>
            <w:tcW w:w="2627" w:type="dxa"/>
            <w:vAlign w:val="center"/>
          </w:tcPr>
          <w:p w14:paraId="61295F95">
            <w:pPr>
              <w:jc w:val="center"/>
              <w:rPr>
                <w:color w:val="auto"/>
                <w:sz w:val="24"/>
                <w:szCs w:val="24"/>
              </w:rPr>
            </w:pPr>
          </w:p>
        </w:tc>
        <w:tc>
          <w:tcPr>
            <w:tcW w:w="1403" w:type="dxa"/>
            <w:vAlign w:val="center"/>
          </w:tcPr>
          <w:p w14:paraId="0B44BE4F">
            <w:pPr>
              <w:jc w:val="center"/>
              <w:rPr>
                <w:color w:val="auto"/>
                <w:sz w:val="24"/>
                <w:szCs w:val="24"/>
              </w:rPr>
            </w:pPr>
          </w:p>
        </w:tc>
        <w:tc>
          <w:tcPr>
            <w:tcW w:w="2210" w:type="dxa"/>
            <w:vAlign w:val="center"/>
          </w:tcPr>
          <w:p w14:paraId="674594BE">
            <w:pPr>
              <w:jc w:val="center"/>
              <w:rPr>
                <w:color w:val="auto"/>
                <w:sz w:val="24"/>
                <w:szCs w:val="24"/>
              </w:rPr>
            </w:pPr>
          </w:p>
        </w:tc>
      </w:tr>
    </w:tbl>
    <w:p w14:paraId="003E348A">
      <w:pPr>
        <w:spacing w:line="440" w:lineRule="exact"/>
        <w:rPr>
          <w:color w:val="auto"/>
          <w:sz w:val="24"/>
          <w:szCs w:val="24"/>
        </w:rPr>
      </w:pPr>
      <w:r>
        <w:rPr>
          <w:bCs/>
          <w:color w:val="auto"/>
          <w:sz w:val="24"/>
          <w:szCs w:val="24"/>
        </w:rPr>
        <w:t>注：1、</w:t>
      </w:r>
      <w:r>
        <w:rPr>
          <w:color w:val="auto"/>
          <w:sz w:val="24"/>
          <w:szCs w:val="24"/>
        </w:rPr>
        <w:t>供应</w:t>
      </w:r>
      <w:r>
        <w:rPr>
          <w:rFonts w:hint="eastAsia" w:cs="宋体"/>
          <w:color w:val="auto"/>
          <w:sz w:val="24"/>
          <w:szCs w:val="24"/>
        </w:rPr>
        <w:t>商应</w:t>
      </w:r>
      <w:r>
        <w:rPr>
          <w:rFonts w:hint="eastAsia" w:cs="宋体"/>
          <w:color w:val="auto"/>
          <w:sz w:val="24"/>
        </w:rPr>
        <w:t>根据</w:t>
      </w:r>
      <w:r>
        <w:rPr>
          <w:rFonts w:hint="eastAsia" w:cs="宋体"/>
          <w:b/>
          <w:bCs/>
          <w:color w:val="auto"/>
          <w:sz w:val="24"/>
        </w:rPr>
        <w:t>“第四章 采购需求”中的“二、项目服务内容及服务要求”“三、其他要求”</w:t>
      </w:r>
      <w:r>
        <w:rPr>
          <w:rFonts w:hint="eastAsia" w:cs="宋体"/>
          <w:color w:val="auto"/>
          <w:sz w:val="24"/>
        </w:rPr>
        <w:t>对照</w:t>
      </w:r>
      <w:r>
        <w:rPr>
          <w:rFonts w:hint="eastAsia" w:cs="宋体"/>
          <w:color w:val="auto"/>
          <w:sz w:val="24"/>
          <w:szCs w:val="24"/>
        </w:rPr>
        <w:t>供应商</w:t>
      </w:r>
      <w:r>
        <w:rPr>
          <w:rFonts w:hint="eastAsia" w:cs="宋体"/>
          <w:b/>
          <w:bCs/>
          <w:color w:val="auto"/>
          <w:sz w:val="24"/>
        </w:rPr>
        <w:t>所提供的服务承诺进行逐项评议</w:t>
      </w:r>
      <w:r>
        <w:rPr>
          <w:color w:val="auto"/>
          <w:sz w:val="24"/>
        </w:rPr>
        <w:t>。</w:t>
      </w:r>
    </w:p>
    <w:p w14:paraId="6D7250FF">
      <w:pPr>
        <w:spacing w:line="440" w:lineRule="exact"/>
        <w:ind w:firstLine="480"/>
        <w:rPr>
          <w:color w:val="auto"/>
          <w:sz w:val="24"/>
          <w:szCs w:val="24"/>
        </w:rPr>
      </w:pPr>
      <w:r>
        <w:rPr>
          <w:color w:val="auto"/>
          <w:sz w:val="24"/>
          <w:szCs w:val="24"/>
        </w:rPr>
        <w:t>2、若无</w:t>
      </w:r>
      <w:r>
        <w:rPr>
          <w:rFonts w:hint="eastAsia" w:cs="宋体"/>
          <w:color w:val="auto"/>
          <w:sz w:val="24"/>
          <w:szCs w:val="24"/>
        </w:rPr>
        <w:t>偏离，在“有无偏离”栏中填写“无”；若有偏离在“有无偏离”栏中填写“有”并在“偏离内容及原因”栏中作出说</w:t>
      </w:r>
      <w:r>
        <w:rPr>
          <w:color w:val="auto"/>
          <w:sz w:val="24"/>
          <w:szCs w:val="24"/>
        </w:rPr>
        <w:t>明。</w:t>
      </w:r>
    </w:p>
    <w:p w14:paraId="559A2FB0">
      <w:pPr>
        <w:spacing w:line="440" w:lineRule="exact"/>
        <w:ind w:firstLine="480"/>
        <w:rPr>
          <w:color w:val="auto"/>
          <w:sz w:val="24"/>
          <w:szCs w:val="24"/>
        </w:rPr>
      </w:pPr>
      <w:r>
        <w:rPr>
          <w:rFonts w:hint="eastAsia"/>
          <w:color w:val="auto"/>
          <w:sz w:val="24"/>
          <w:szCs w:val="24"/>
        </w:rPr>
        <w:t>3</w:t>
      </w:r>
      <w:r>
        <w:rPr>
          <w:color w:val="auto"/>
          <w:sz w:val="24"/>
          <w:szCs w:val="24"/>
        </w:rPr>
        <w:t>、表格不够可另接。</w:t>
      </w:r>
    </w:p>
    <w:p w14:paraId="17244E21">
      <w:pPr>
        <w:pStyle w:val="3"/>
        <w:rPr>
          <w:rFonts w:ascii="Times New Roman" w:hAnsi="Times New Roman"/>
          <w:color w:val="auto"/>
        </w:rPr>
      </w:pPr>
    </w:p>
    <w:p w14:paraId="66D5FDA3">
      <w:pPr>
        <w:pStyle w:val="3"/>
        <w:rPr>
          <w:rFonts w:ascii="Times New Roman" w:hAnsi="Times New Roman"/>
          <w:color w:val="auto"/>
        </w:rPr>
      </w:pPr>
    </w:p>
    <w:p w14:paraId="3A703227">
      <w:pPr>
        <w:pStyle w:val="5"/>
        <w:rPr>
          <w:color w:val="auto"/>
        </w:rPr>
      </w:pPr>
      <w:bookmarkStart w:id="150" w:name="_Toc315868064"/>
      <w:bookmarkStart w:id="151" w:name="_Toc315875327"/>
      <w:bookmarkStart w:id="152" w:name="_Toc158691778"/>
      <w:r>
        <w:rPr>
          <w:color w:val="auto"/>
        </w:rPr>
        <w:br w:type="page" w:clear="all"/>
      </w:r>
      <w:bookmarkStart w:id="153" w:name="_Toc17182"/>
      <w:bookmarkStart w:id="154" w:name="_Toc5595"/>
      <w:bookmarkStart w:id="155" w:name="_Toc12182"/>
      <w:r>
        <w:rPr>
          <w:rFonts w:hint="eastAsia"/>
          <w:color w:val="auto"/>
        </w:rPr>
        <w:t xml:space="preserve">附件4 </w:t>
      </w:r>
      <w:r>
        <w:rPr>
          <w:color w:val="auto"/>
        </w:rPr>
        <w:t>商务条件响应及偏离表</w:t>
      </w:r>
      <w:bookmarkEnd w:id="153"/>
      <w:bookmarkEnd w:id="154"/>
      <w:bookmarkEnd w:id="155"/>
    </w:p>
    <w:tbl>
      <w:tblPr>
        <w:tblStyle w:val="57"/>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0"/>
        <w:gridCol w:w="2667"/>
        <w:gridCol w:w="3080"/>
      </w:tblGrid>
      <w:tr w14:paraId="6DC1D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0D831337">
            <w:pPr>
              <w:ind w:firstLine="602"/>
              <w:jc w:val="center"/>
              <w:rPr>
                <w:b/>
                <w:bCs/>
                <w:color w:val="auto"/>
                <w:sz w:val="24"/>
                <w:szCs w:val="24"/>
              </w:rPr>
            </w:pPr>
            <w:r>
              <w:rPr>
                <w:b/>
                <w:bCs/>
                <w:color w:val="auto"/>
                <w:sz w:val="24"/>
                <w:szCs w:val="24"/>
              </w:rPr>
              <w:t>合同条款</w:t>
            </w:r>
          </w:p>
        </w:tc>
        <w:tc>
          <w:tcPr>
            <w:tcW w:w="2667" w:type="dxa"/>
            <w:vAlign w:val="center"/>
          </w:tcPr>
          <w:p w14:paraId="7BCB0B71">
            <w:pPr>
              <w:ind w:firstLine="602"/>
              <w:jc w:val="center"/>
              <w:rPr>
                <w:b/>
                <w:bCs/>
                <w:color w:val="auto"/>
                <w:sz w:val="24"/>
                <w:szCs w:val="24"/>
              </w:rPr>
            </w:pPr>
            <w:r>
              <w:rPr>
                <w:b/>
                <w:bCs/>
                <w:color w:val="auto"/>
                <w:sz w:val="24"/>
                <w:szCs w:val="24"/>
              </w:rPr>
              <w:t>有无偏离</w:t>
            </w:r>
          </w:p>
        </w:tc>
        <w:tc>
          <w:tcPr>
            <w:tcW w:w="3080" w:type="dxa"/>
            <w:vAlign w:val="center"/>
          </w:tcPr>
          <w:p w14:paraId="3BA730E1">
            <w:pPr>
              <w:ind w:firstLine="602"/>
              <w:jc w:val="center"/>
              <w:rPr>
                <w:b/>
                <w:bCs/>
                <w:color w:val="auto"/>
                <w:sz w:val="24"/>
                <w:szCs w:val="24"/>
              </w:rPr>
            </w:pPr>
            <w:r>
              <w:rPr>
                <w:b/>
                <w:bCs/>
                <w:color w:val="auto"/>
                <w:sz w:val="24"/>
                <w:szCs w:val="24"/>
              </w:rPr>
              <w:t>偏离内容及原因</w:t>
            </w:r>
          </w:p>
        </w:tc>
      </w:tr>
      <w:tr w14:paraId="64A07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699CDC0A">
            <w:pPr>
              <w:rPr>
                <w:color w:val="auto"/>
                <w:sz w:val="24"/>
                <w:szCs w:val="24"/>
              </w:rPr>
            </w:pPr>
            <w:r>
              <w:rPr>
                <w:color w:val="auto"/>
                <w:sz w:val="24"/>
                <w:szCs w:val="24"/>
              </w:rPr>
              <w:t>第一条 定义</w:t>
            </w:r>
          </w:p>
        </w:tc>
        <w:tc>
          <w:tcPr>
            <w:tcW w:w="2667" w:type="dxa"/>
            <w:vAlign w:val="center"/>
          </w:tcPr>
          <w:p w14:paraId="3CF707F6">
            <w:pPr>
              <w:jc w:val="center"/>
              <w:rPr>
                <w:color w:val="auto"/>
                <w:sz w:val="24"/>
                <w:szCs w:val="24"/>
              </w:rPr>
            </w:pPr>
          </w:p>
        </w:tc>
        <w:tc>
          <w:tcPr>
            <w:tcW w:w="3080" w:type="dxa"/>
            <w:vAlign w:val="center"/>
          </w:tcPr>
          <w:p w14:paraId="1D4646E8">
            <w:pPr>
              <w:rPr>
                <w:color w:val="auto"/>
                <w:sz w:val="24"/>
                <w:szCs w:val="24"/>
              </w:rPr>
            </w:pPr>
          </w:p>
        </w:tc>
      </w:tr>
      <w:tr w14:paraId="0DC7D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01D001EA">
            <w:pPr>
              <w:rPr>
                <w:color w:val="auto"/>
                <w:sz w:val="24"/>
                <w:szCs w:val="24"/>
              </w:rPr>
            </w:pPr>
            <w:r>
              <w:rPr>
                <w:color w:val="auto"/>
                <w:sz w:val="24"/>
                <w:szCs w:val="24"/>
              </w:rPr>
              <w:t>第二条 组成本合同的文件</w:t>
            </w:r>
          </w:p>
        </w:tc>
        <w:tc>
          <w:tcPr>
            <w:tcW w:w="2667" w:type="dxa"/>
            <w:vAlign w:val="center"/>
          </w:tcPr>
          <w:p w14:paraId="5D1CD899">
            <w:pPr>
              <w:jc w:val="center"/>
              <w:rPr>
                <w:color w:val="auto"/>
                <w:sz w:val="24"/>
                <w:szCs w:val="24"/>
              </w:rPr>
            </w:pPr>
          </w:p>
        </w:tc>
        <w:tc>
          <w:tcPr>
            <w:tcW w:w="3080" w:type="dxa"/>
            <w:vAlign w:val="center"/>
          </w:tcPr>
          <w:p w14:paraId="51E9EF53">
            <w:pPr>
              <w:rPr>
                <w:color w:val="auto"/>
                <w:sz w:val="24"/>
                <w:szCs w:val="24"/>
              </w:rPr>
            </w:pPr>
          </w:p>
        </w:tc>
      </w:tr>
      <w:tr w14:paraId="5847A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026F5CE3">
            <w:pPr>
              <w:rPr>
                <w:color w:val="auto"/>
                <w:sz w:val="24"/>
                <w:szCs w:val="24"/>
              </w:rPr>
            </w:pPr>
            <w:r>
              <w:rPr>
                <w:color w:val="auto"/>
                <w:sz w:val="24"/>
                <w:szCs w:val="24"/>
              </w:rPr>
              <w:t>第三条 合同内容</w:t>
            </w:r>
          </w:p>
        </w:tc>
        <w:tc>
          <w:tcPr>
            <w:tcW w:w="2667" w:type="dxa"/>
            <w:vAlign w:val="center"/>
          </w:tcPr>
          <w:p w14:paraId="08773574">
            <w:pPr>
              <w:jc w:val="center"/>
              <w:rPr>
                <w:color w:val="auto"/>
                <w:sz w:val="24"/>
                <w:szCs w:val="24"/>
              </w:rPr>
            </w:pPr>
          </w:p>
        </w:tc>
        <w:tc>
          <w:tcPr>
            <w:tcW w:w="3080" w:type="dxa"/>
            <w:vAlign w:val="center"/>
          </w:tcPr>
          <w:p w14:paraId="7CE17AD0">
            <w:pPr>
              <w:rPr>
                <w:color w:val="auto"/>
                <w:sz w:val="24"/>
                <w:szCs w:val="24"/>
              </w:rPr>
            </w:pPr>
          </w:p>
        </w:tc>
      </w:tr>
      <w:tr w14:paraId="2B859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06A46857">
            <w:pPr>
              <w:rPr>
                <w:rFonts w:hint="default" w:eastAsia="宋体"/>
                <w:color w:val="auto"/>
                <w:sz w:val="24"/>
                <w:szCs w:val="24"/>
                <w:lang w:val="en-US" w:eastAsia="zh-CN"/>
              </w:rPr>
            </w:pPr>
            <w:r>
              <w:rPr>
                <w:rFonts w:hint="eastAsia"/>
                <w:color w:val="auto"/>
                <w:sz w:val="24"/>
                <w:szCs w:val="24"/>
                <w:lang w:val="en-US" w:eastAsia="zh-CN"/>
              </w:rPr>
              <w:t>第五条 付款方式</w:t>
            </w:r>
          </w:p>
        </w:tc>
        <w:tc>
          <w:tcPr>
            <w:tcW w:w="2667" w:type="dxa"/>
            <w:vAlign w:val="center"/>
          </w:tcPr>
          <w:p w14:paraId="4E349C31">
            <w:pPr>
              <w:jc w:val="center"/>
              <w:rPr>
                <w:color w:val="auto"/>
                <w:sz w:val="24"/>
                <w:szCs w:val="24"/>
              </w:rPr>
            </w:pPr>
          </w:p>
        </w:tc>
        <w:tc>
          <w:tcPr>
            <w:tcW w:w="3080" w:type="dxa"/>
            <w:vAlign w:val="center"/>
          </w:tcPr>
          <w:p w14:paraId="2F1B6D38">
            <w:pPr>
              <w:rPr>
                <w:color w:val="auto"/>
                <w:sz w:val="24"/>
                <w:szCs w:val="24"/>
              </w:rPr>
            </w:pPr>
          </w:p>
        </w:tc>
      </w:tr>
      <w:tr w14:paraId="7C2D9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0A35FC58">
            <w:pPr>
              <w:rPr>
                <w:color w:val="auto"/>
                <w:sz w:val="24"/>
                <w:szCs w:val="24"/>
              </w:rPr>
            </w:pPr>
            <w:r>
              <w:rPr>
                <w:color w:val="auto"/>
                <w:sz w:val="24"/>
                <w:szCs w:val="24"/>
              </w:rPr>
              <w:t>第</w:t>
            </w:r>
            <w:r>
              <w:rPr>
                <w:rFonts w:hint="eastAsia"/>
                <w:color w:val="auto"/>
                <w:sz w:val="24"/>
                <w:szCs w:val="24"/>
              </w:rPr>
              <w:t>六</w:t>
            </w:r>
            <w:r>
              <w:rPr>
                <w:color w:val="auto"/>
                <w:sz w:val="24"/>
                <w:szCs w:val="24"/>
              </w:rPr>
              <w:t>条 权利保证及保密</w:t>
            </w:r>
          </w:p>
        </w:tc>
        <w:tc>
          <w:tcPr>
            <w:tcW w:w="2667" w:type="dxa"/>
            <w:vAlign w:val="center"/>
          </w:tcPr>
          <w:p w14:paraId="2FF27090">
            <w:pPr>
              <w:jc w:val="center"/>
              <w:rPr>
                <w:color w:val="auto"/>
                <w:sz w:val="24"/>
                <w:szCs w:val="24"/>
              </w:rPr>
            </w:pPr>
          </w:p>
        </w:tc>
        <w:tc>
          <w:tcPr>
            <w:tcW w:w="3080" w:type="dxa"/>
            <w:vAlign w:val="center"/>
          </w:tcPr>
          <w:p w14:paraId="139A9BC6">
            <w:pPr>
              <w:rPr>
                <w:color w:val="auto"/>
                <w:sz w:val="24"/>
                <w:szCs w:val="24"/>
              </w:rPr>
            </w:pPr>
          </w:p>
        </w:tc>
      </w:tr>
      <w:tr w14:paraId="3D7F3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373708E0">
            <w:pPr>
              <w:rPr>
                <w:color w:val="auto"/>
                <w:sz w:val="24"/>
                <w:szCs w:val="24"/>
              </w:rPr>
            </w:pPr>
            <w:r>
              <w:rPr>
                <w:color w:val="auto"/>
                <w:sz w:val="24"/>
                <w:szCs w:val="24"/>
              </w:rPr>
              <w:t>第</w:t>
            </w:r>
            <w:r>
              <w:rPr>
                <w:rFonts w:hint="eastAsia"/>
                <w:color w:val="auto"/>
                <w:sz w:val="24"/>
                <w:szCs w:val="24"/>
              </w:rPr>
              <w:t>七</w:t>
            </w:r>
            <w:r>
              <w:rPr>
                <w:color w:val="auto"/>
                <w:sz w:val="24"/>
                <w:szCs w:val="24"/>
              </w:rPr>
              <w:t xml:space="preserve">条 </w:t>
            </w:r>
            <w:r>
              <w:rPr>
                <w:rFonts w:hint="eastAsia"/>
                <w:color w:val="auto"/>
                <w:sz w:val="24"/>
                <w:szCs w:val="24"/>
              </w:rPr>
              <w:t>乙方义务</w:t>
            </w:r>
          </w:p>
        </w:tc>
        <w:tc>
          <w:tcPr>
            <w:tcW w:w="2667" w:type="dxa"/>
            <w:vAlign w:val="center"/>
          </w:tcPr>
          <w:p w14:paraId="4AD05C22">
            <w:pPr>
              <w:jc w:val="center"/>
              <w:rPr>
                <w:color w:val="auto"/>
                <w:sz w:val="24"/>
                <w:szCs w:val="24"/>
              </w:rPr>
            </w:pPr>
          </w:p>
        </w:tc>
        <w:tc>
          <w:tcPr>
            <w:tcW w:w="3080" w:type="dxa"/>
            <w:vAlign w:val="center"/>
          </w:tcPr>
          <w:p w14:paraId="1171E6C5">
            <w:pPr>
              <w:rPr>
                <w:color w:val="auto"/>
                <w:sz w:val="24"/>
                <w:szCs w:val="24"/>
              </w:rPr>
            </w:pPr>
          </w:p>
        </w:tc>
      </w:tr>
      <w:tr w14:paraId="06DA4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40900026">
            <w:pPr>
              <w:rPr>
                <w:color w:val="auto"/>
                <w:sz w:val="24"/>
                <w:szCs w:val="24"/>
              </w:rPr>
            </w:pPr>
            <w:r>
              <w:rPr>
                <w:color w:val="auto"/>
                <w:sz w:val="24"/>
                <w:szCs w:val="24"/>
              </w:rPr>
              <w:t>第</w:t>
            </w:r>
            <w:r>
              <w:rPr>
                <w:rFonts w:hint="eastAsia"/>
                <w:color w:val="auto"/>
                <w:sz w:val="24"/>
                <w:szCs w:val="24"/>
              </w:rPr>
              <w:t>八</w:t>
            </w:r>
            <w:r>
              <w:rPr>
                <w:color w:val="auto"/>
                <w:sz w:val="24"/>
                <w:szCs w:val="24"/>
              </w:rPr>
              <w:t>条 甲方义务</w:t>
            </w:r>
          </w:p>
        </w:tc>
        <w:tc>
          <w:tcPr>
            <w:tcW w:w="2667" w:type="dxa"/>
            <w:vAlign w:val="center"/>
          </w:tcPr>
          <w:p w14:paraId="262A3AD0">
            <w:pPr>
              <w:jc w:val="center"/>
              <w:rPr>
                <w:color w:val="auto"/>
                <w:sz w:val="24"/>
                <w:szCs w:val="24"/>
              </w:rPr>
            </w:pPr>
          </w:p>
        </w:tc>
        <w:tc>
          <w:tcPr>
            <w:tcW w:w="3080" w:type="dxa"/>
            <w:vAlign w:val="center"/>
          </w:tcPr>
          <w:p w14:paraId="25F4701D">
            <w:pPr>
              <w:rPr>
                <w:color w:val="auto"/>
                <w:sz w:val="24"/>
                <w:szCs w:val="24"/>
              </w:rPr>
            </w:pPr>
          </w:p>
        </w:tc>
      </w:tr>
      <w:tr w14:paraId="5F1E5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663C6A08">
            <w:pPr>
              <w:rPr>
                <w:color w:val="auto"/>
                <w:sz w:val="24"/>
                <w:szCs w:val="24"/>
              </w:rPr>
            </w:pPr>
            <w:r>
              <w:rPr>
                <w:color w:val="auto"/>
                <w:sz w:val="24"/>
                <w:szCs w:val="24"/>
              </w:rPr>
              <w:t>第</w:t>
            </w:r>
            <w:r>
              <w:rPr>
                <w:rFonts w:hint="eastAsia"/>
                <w:color w:val="auto"/>
                <w:sz w:val="24"/>
                <w:szCs w:val="24"/>
              </w:rPr>
              <w:t>九</w:t>
            </w:r>
            <w:r>
              <w:rPr>
                <w:color w:val="auto"/>
                <w:sz w:val="24"/>
                <w:szCs w:val="24"/>
              </w:rPr>
              <w:t>条 人员变更</w:t>
            </w:r>
          </w:p>
        </w:tc>
        <w:tc>
          <w:tcPr>
            <w:tcW w:w="2667" w:type="dxa"/>
            <w:vAlign w:val="center"/>
          </w:tcPr>
          <w:p w14:paraId="6C364B66">
            <w:pPr>
              <w:jc w:val="center"/>
              <w:rPr>
                <w:color w:val="auto"/>
                <w:sz w:val="24"/>
                <w:szCs w:val="24"/>
              </w:rPr>
            </w:pPr>
          </w:p>
        </w:tc>
        <w:tc>
          <w:tcPr>
            <w:tcW w:w="3080" w:type="dxa"/>
            <w:vAlign w:val="center"/>
          </w:tcPr>
          <w:p w14:paraId="560BE2DB">
            <w:pPr>
              <w:rPr>
                <w:color w:val="auto"/>
                <w:sz w:val="24"/>
                <w:szCs w:val="24"/>
              </w:rPr>
            </w:pPr>
          </w:p>
        </w:tc>
      </w:tr>
      <w:tr w14:paraId="53D48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2A2560D5">
            <w:pPr>
              <w:rPr>
                <w:color w:val="auto"/>
                <w:sz w:val="24"/>
                <w:szCs w:val="24"/>
              </w:rPr>
            </w:pPr>
            <w:r>
              <w:rPr>
                <w:color w:val="auto"/>
                <w:sz w:val="24"/>
                <w:szCs w:val="24"/>
              </w:rPr>
              <w:t>第</w:t>
            </w:r>
            <w:r>
              <w:rPr>
                <w:rFonts w:hint="eastAsia"/>
                <w:color w:val="auto"/>
                <w:sz w:val="24"/>
                <w:szCs w:val="24"/>
              </w:rPr>
              <w:t>十</w:t>
            </w:r>
            <w:r>
              <w:rPr>
                <w:color w:val="auto"/>
                <w:sz w:val="24"/>
                <w:szCs w:val="24"/>
              </w:rPr>
              <w:t>条 伴随服务</w:t>
            </w:r>
          </w:p>
        </w:tc>
        <w:tc>
          <w:tcPr>
            <w:tcW w:w="2667" w:type="dxa"/>
            <w:vAlign w:val="center"/>
          </w:tcPr>
          <w:p w14:paraId="4153246A">
            <w:pPr>
              <w:jc w:val="center"/>
              <w:rPr>
                <w:color w:val="auto"/>
                <w:sz w:val="24"/>
                <w:szCs w:val="24"/>
              </w:rPr>
            </w:pPr>
          </w:p>
        </w:tc>
        <w:tc>
          <w:tcPr>
            <w:tcW w:w="3080" w:type="dxa"/>
            <w:vAlign w:val="center"/>
          </w:tcPr>
          <w:p w14:paraId="00C30D9A">
            <w:pPr>
              <w:rPr>
                <w:color w:val="auto"/>
                <w:sz w:val="24"/>
                <w:szCs w:val="24"/>
              </w:rPr>
            </w:pPr>
          </w:p>
        </w:tc>
      </w:tr>
      <w:tr w14:paraId="49F10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43043B4D">
            <w:pPr>
              <w:rPr>
                <w:color w:val="auto"/>
                <w:sz w:val="24"/>
                <w:szCs w:val="24"/>
              </w:rPr>
            </w:pPr>
            <w:r>
              <w:rPr>
                <w:color w:val="auto"/>
                <w:sz w:val="24"/>
                <w:szCs w:val="24"/>
              </w:rPr>
              <w:t>第</w:t>
            </w:r>
            <w:r>
              <w:rPr>
                <w:rFonts w:hint="eastAsia"/>
                <w:color w:val="auto"/>
                <w:sz w:val="24"/>
                <w:szCs w:val="24"/>
              </w:rPr>
              <w:t>十一</w:t>
            </w:r>
            <w:r>
              <w:rPr>
                <w:color w:val="auto"/>
                <w:sz w:val="24"/>
                <w:szCs w:val="24"/>
              </w:rPr>
              <w:t>条 违约责任</w:t>
            </w:r>
          </w:p>
        </w:tc>
        <w:tc>
          <w:tcPr>
            <w:tcW w:w="2667" w:type="dxa"/>
            <w:vAlign w:val="center"/>
          </w:tcPr>
          <w:p w14:paraId="423B9A99">
            <w:pPr>
              <w:jc w:val="center"/>
              <w:rPr>
                <w:color w:val="auto"/>
                <w:sz w:val="24"/>
                <w:szCs w:val="24"/>
              </w:rPr>
            </w:pPr>
          </w:p>
        </w:tc>
        <w:tc>
          <w:tcPr>
            <w:tcW w:w="3080" w:type="dxa"/>
            <w:vAlign w:val="center"/>
          </w:tcPr>
          <w:p w14:paraId="27E70B93">
            <w:pPr>
              <w:rPr>
                <w:color w:val="auto"/>
                <w:sz w:val="24"/>
                <w:szCs w:val="24"/>
              </w:rPr>
            </w:pPr>
          </w:p>
        </w:tc>
      </w:tr>
      <w:tr w14:paraId="6D9F4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739A34D6">
            <w:pPr>
              <w:rPr>
                <w:color w:val="auto"/>
                <w:sz w:val="24"/>
                <w:szCs w:val="24"/>
              </w:rPr>
            </w:pPr>
            <w:r>
              <w:rPr>
                <w:color w:val="auto"/>
                <w:sz w:val="24"/>
                <w:szCs w:val="24"/>
              </w:rPr>
              <w:t>第十</w:t>
            </w:r>
            <w:r>
              <w:rPr>
                <w:rFonts w:hint="eastAsia"/>
                <w:color w:val="auto"/>
                <w:sz w:val="24"/>
                <w:szCs w:val="24"/>
              </w:rPr>
              <w:t>二</w:t>
            </w:r>
            <w:r>
              <w:rPr>
                <w:color w:val="auto"/>
                <w:sz w:val="24"/>
                <w:szCs w:val="24"/>
              </w:rPr>
              <w:t>条 不可抗力</w:t>
            </w:r>
          </w:p>
        </w:tc>
        <w:tc>
          <w:tcPr>
            <w:tcW w:w="2667" w:type="dxa"/>
            <w:vAlign w:val="center"/>
          </w:tcPr>
          <w:p w14:paraId="44855B9E">
            <w:pPr>
              <w:jc w:val="center"/>
              <w:rPr>
                <w:color w:val="auto"/>
                <w:sz w:val="24"/>
                <w:szCs w:val="24"/>
              </w:rPr>
            </w:pPr>
          </w:p>
        </w:tc>
        <w:tc>
          <w:tcPr>
            <w:tcW w:w="3080" w:type="dxa"/>
            <w:vAlign w:val="center"/>
          </w:tcPr>
          <w:p w14:paraId="14404025">
            <w:pPr>
              <w:rPr>
                <w:color w:val="auto"/>
                <w:sz w:val="24"/>
                <w:szCs w:val="24"/>
              </w:rPr>
            </w:pPr>
          </w:p>
        </w:tc>
      </w:tr>
      <w:tr w14:paraId="483E8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637ADF3D">
            <w:pPr>
              <w:rPr>
                <w:color w:val="auto"/>
                <w:sz w:val="24"/>
                <w:szCs w:val="24"/>
              </w:rPr>
            </w:pPr>
            <w:r>
              <w:rPr>
                <w:color w:val="auto"/>
                <w:sz w:val="24"/>
                <w:szCs w:val="24"/>
              </w:rPr>
              <w:t>第十</w:t>
            </w:r>
            <w:r>
              <w:rPr>
                <w:rFonts w:hint="eastAsia"/>
                <w:color w:val="auto"/>
                <w:sz w:val="24"/>
                <w:szCs w:val="24"/>
              </w:rPr>
              <w:t>三</w:t>
            </w:r>
            <w:r>
              <w:rPr>
                <w:color w:val="auto"/>
                <w:sz w:val="24"/>
                <w:szCs w:val="24"/>
              </w:rPr>
              <w:t>条 合同的补充</w:t>
            </w:r>
          </w:p>
        </w:tc>
        <w:tc>
          <w:tcPr>
            <w:tcW w:w="2667" w:type="dxa"/>
            <w:vAlign w:val="center"/>
          </w:tcPr>
          <w:p w14:paraId="64BF6FE3">
            <w:pPr>
              <w:jc w:val="center"/>
              <w:rPr>
                <w:color w:val="auto"/>
                <w:sz w:val="24"/>
                <w:szCs w:val="24"/>
              </w:rPr>
            </w:pPr>
          </w:p>
        </w:tc>
        <w:tc>
          <w:tcPr>
            <w:tcW w:w="3080" w:type="dxa"/>
            <w:vAlign w:val="center"/>
          </w:tcPr>
          <w:p w14:paraId="37043BBF">
            <w:pPr>
              <w:rPr>
                <w:color w:val="auto"/>
                <w:sz w:val="24"/>
                <w:szCs w:val="24"/>
              </w:rPr>
            </w:pPr>
          </w:p>
        </w:tc>
      </w:tr>
      <w:tr w14:paraId="03392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32D21AFE">
            <w:pPr>
              <w:rPr>
                <w:color w:val="auto"/>
                <w:sz w:val="24"/>
                <w:szCs w:val="24"/>
              </w:rPr>
            </w:pPr>
            <w:r>
              <w:rPr>
                <w:color w:val="auto"/>
                <w:sz w:val="24"/>
                <w:szCs w:val="24"/>
              </w:rPr>
              <w:t>第十</w:t>
            </w:r>
            <w:r>
              <w:rPr>
                <w:rFonts w:hint="eastAsia"/>
                <w:color w:val="auto"/>
                <w:sz w:val="24"/>
                <w:szCs w:val="24"/>
              </w:rPr>
              <w:t>四</w:t>
            </w:r>
            <w:r>
              <w:rPr>
                <w:color w:val="auto"/>
                <w:sz w:val="24"/>
                <w:szCs w:val="24"/>
              </w:rPr>
              <w:t>条 合同的变更、中止</w:t>
            </w:r>
          </w:p>
        </w:tc>
        <w:tc>
          <w:tcPr>
            <w:tcW w:w="2667" w:type="dxa"/>
            <w:vAlign w:val="center"/>
          </w:tcPr>
          <w:p w14:paraId="7E843FD5">
            <w:pPr>
              <w:jc w:val="center"/>
              <w:rPr>
                <w:color w:val="auto"/>
                <w:sz w:val="24"/>
                <w:szCs w:val="24"/>
              </w:rPr>
            </w:pPr>
          </w:p>
        </w:tc>
        <w:tc>
          <w:tcPr>
            <w:tcW w:w="3080" w:type="dxa"/>
            <w:vAlign w:val="center"/>
          </w:tcPr>
          <w:p w14:paraId="4D02A7AD">
            <w:pPr>
              <w:rPr>
                <w:color w:val="auto"/>
                <w:sz w:val="24"/>
                <w:szCs w:val="24"/>
              </w:rPr>
            </w:pPr>
          </w:p>
        </w:tc>
      </w:tr>
      <w:tr w14:paraId="68E3B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2898D162">
            <w:pPr>
              <w:rPr>
                <w:color w:val="auto"/>
                <w:sz w:val="24"/>
                <w:szCs w:val="24"/>
              </w:rPr>
            </w:pPr>
            <w:r>
              <w:rPr>
                <w:color w:val="auto"/>
                <w:sz w:val="24"/>
                <w:szCs w:val="24"/>
              </w:rPr>
              <w:t>第十</w:t>
            </w:r>
            <w:r>
              <w:rPr>
                <w:rFonts w:hint="eastAsia"/>
                <w:color w:val="auto"/>
                <w:sz w:val="24"/>
                <w:szCs w:val="24"/>
              </w:rPr>
              <w:t>五</w:t>
            </w:r>
            <w:r>
              <w:rPr>
                <w:color w:val="auto"/>
                <w:sz w:val="24"/>
                <w:szCs w:val="24"/>
              </w:rPr>
              <w:t>条 合同的终止</w:t>
            </w:r>
          </w:p>
        </w:tc>
        <w:tc>
          <w:tcPr>
            <w:tcW w:w="2667" w:type="dxa"/>
            <w:vAlign w:val="center"/>
          </w:tcPr>
          <w:p w14:paraId="72D718D2">
            <w:pPr>
              <w:jc w:val="center"/>
              <w:rPr>
                <w:color w:val="auto"/>
                <w:sz w:val="24"/>
                <w:szCs w:val="24"/>
              </w:rPr>
            </w:pPr>
          </w:p>
        </w:tc>
        <w:tc>
          <w:tcPr>
            <w:tcW w:w="3080" w:type="dxa"/>
            <w:vAlign w:val="center"/>
          </w:tcPr>
          <w:p w14:paraId="20B9CA40">
            <w:pPr>
              <w:rPr>
                <w:color w:val="auto"/>
                <w:sz w:val="24"/>
                <w:szCs w:val="24"/>
              </w:rPr>
            </w:pPr>
          </w:p>
        </w:tc>
      </w:tr>
      <w:tr w14:paraId="7DE8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0179BE83">
            <w:pPr>
              <w:rPr>
                <w:color w:val="auto"/>
                <w:sz w:val="24"/>
                <w:szCs w:val="24"/>
              </w:rPr>
            </w:pPr>
            <w:r>
              <w:rPr>
                <w:color w:val="auto"/>
                <w:sz w:val="24"/>
                <w:szCs w:val="24"/>
              </w:rPr>
              <w:t>第十</w:t>
            </w:r>
            <w:r>
              <w:rPr>
                <w:rFonts w:hint="eastAsia"/>
                <w:color w:val="auto"/>
                <w:sz w:val="24"/>
                <w:szCs w:val="24"/>
              </w:rPr>
              <w:t>六</w:t>
            </w:r>
            <w:r>
              <w:rPr>
                <w:color w:val="auto"/>
                <w:sz w:val="24"/>
                <w:szCs w:val="24"/>
              </w:rPr>
              <w:t>条 合同的转让</w:t>
            </w:r>
          </w:p>
        </w:tc>
        <w:tc>
          <w:tcPr>
            <w:tcW w:w="2667" w:type="dxa"/>
            <w:vAlign w:val="center"/>
          </w:tcPr>
          <w:p w14:paraId="15D763F5">
            <w:pPr>
              <w:jc w:val="center"/>
              <w:rPr>
                <w:color w:val="auto"/>
                <w:sz w:val="24"/>
                <w:szCs w:val="24"/>
              </w:rPr>
            </w:pPr>
          </w:p>
        </w:tc>
        <w:tc>
          <w:tcPr>
            <w:tcW w:w="3080" w:type="dxa"/>
            <w:vAlign w:val="center"/>
          </w:tcPr>
          <w:p w14:paraId="6F493D37">
            <w:pPr>
              <w:rPr>
                <w:color w:val="auto"/>
                <w:sz w:val="24"/>
                <w:szCs w:val="24"/>
              </w:rPr>
            </w:pPr>
          </w:p>
        </w:tc>
      </w:tr>
      <w:tr w14:paraId="1D2EC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20" w:type="dxa"/>
            <w:vAlign w:val="center"/>
          </w:tcPr>
          <w:p w14:paraId="435BC694">
            <w:pPr>
              <w:rPr>
                <w:color w:val="auto"/>
                <w:sz w:val="24"/>
                <w:szCs w:val="24"/>
              </w:rPr>
            </w:pPr>
            <w:r>
              <w:rPr>
                <w:color w:val="auto"/>
                <w:sz w:val="24"/>
                <w:szCs w:val="24"/>
              </w:rPr>
              <w:t>第</w:t>
            </w:r>
            <w:r>
              <w:rPr>
                <w:rFonts w:hint="eastAsia"/>
                <w:color w:val="auto"/>
                <w:sz w:val="24"/>
                <w:szCs w:val="24"/>
              </w:rPr>
              <w:t>十八</w:t>
            </w:r>
            <w:r>
              <w:rPr>
                <w:color w:val="auto"/>
                <w:sz w:val="24"/>
                <w:szCs w:val="24"/>
              </w:rPr>
              <w:t>条 争议解决方式</w:t>
            </w:r>
          </w:p>
        </w:tc>
        <w:tc>
          <w:tcPr>
            <w:tcW w:w="2667" w:type="dxa"/>
            <w:vAlign w:val="center"/>
          </w:tcPr>
          <w:p w14:paraId="54F0A1EF">
            <w:pPr>
              <w:jc w:val="center"/>
              <w:rPr>
                <w:color w:val="auto"/>
                <w:sz w:val="24"/>
                <w:szCs w:val="24"/>
              </w:rPr>
            </w:pPr>
          </w:p>
        </w:tc>
        <w:tc>
          <w:tcPr>
            <w:tcW w:w="3080" w:type="dxa"/>
          </w:tcPr>
          <w:p w14:paraId="1B91DBE5">
            <w:pPr>
              <w:rPr>
                <w:color w:val="auto"/>
                <w:sz w:val="24"/>
                <w:szCs w:val="24"/>
              </w:rPr>
            </w:pPr>
          </w:p>
        </w:tc>
      </w:tr>
    </w:tbl>
    <w:p w14:paraId="5B97CB44">
      <w:pPr>
        <w:spacing w:line="480" w:lineRule="exact"/>
        <w:rPr>
          <w:color w:val="auto"/>
          <w:sz w:val="24"/>
          <w:szCs w:val="24"/>
        </w:rPr>
      </w:pPr>
      <w:r>
        <w:rPr>
          <w:color w:val="auto"/>
          <w:sz w:val="24"/>
          <w:szCs w:val="24"/>
        </w:rPr>
        <w:t>注：1、供应商应据实、详细填写上述表格，因表述含糊导致的评审风险将由供应商承担。</w:t>
      </w:r>
    </w:p>
    <w:p w14:paraId="695DDDC5">
      <w:pPr>
        <w:spacing w:line="480" w:lineRule="exact"/>
        <w:ind w:firstLine="480"/>
        <w:rPr>
          <w:color w:val="auto"/>
          <w:sz w:val="24"/>
          <w:szCs w:val="24"/>
        </w:rPr>
      </w:pPr>
      <w:r>
        <w:rPr>
          <w:rFonts w:hint="eastAsia"/>
          <w:color w:val="auto"/>
          <w:sz w:val="24"/>
          <w:szCs w:val="24"/>
        </w:rPr>
        <w:t>2、</w:t>
      </w:r>
      <w:r>
        <w:rPr>
          <w:color w:val="auto"/>
          <w:sz w:val="24"/>
          <w:szCs w:val="24"/>
        </w:rPr>
        <w:t>若无</w:t>
      </w:r>
      <w:r>
        <w:rPr>
          <w:rFonts w:hint="eastAsia"/>
          <w:color w:val="auto"/>
          <w:sz w:val="24"/>
          <w:szCs w:val="24"/>
        </w:rPr>
        <w:t>偏离，在“有无偏离”栏中填写“无”；若有偏离在“有无偏离”栏中填写“有”并在“偏离内容及原因”栏</w:t>
      </w:r>
      <w:r>
        <w:rPr>
          <w:color w:val="auto"/>
          <w:sz w:val="24"/>
          <w:szCs w:val="24"/>
        </w:rPr>
        <w:t>中作出说明。</w:t>
      </w:r>
    </w:p>
    <w:p w14:paraId="5111C840">
      <w:pPr>
        <w:spacing w:line="480" w:lineRule="exact"/>
        <w:ind w:firstLine="480"/>
        <w:rPr>
          <w:color w:val="auto"/>
          <w:sz w:val="24"/>
          <w:szCs w:val="24"/>
        </w:rPr>
      </w:pPr>
      <w:bookmarkStart w:id="156" w:name="_Toc21755"/>
      <w:r>
        <w:rPr>
          <w:rFonts w:hint="eastAsia"/>
          <w:color w:val="auto"/>
          <w:sz w:val="24"/>
          <w:szCs w:val="24"/>
        </w:rPr>
        <w:t>3、供应商不满足本项目付款方式的，将失去磋商资格。</w:t>
      </w:r>
    </w:p>
    <w:p w14:paraId="323C187E">
      <w:pPr>
        <w:keepNext/>
        <w:ind w:firstLine="703"/>
        <w:jc w:val="center"/>
        <w:outlineLvl w:val="1"/>
        <w:rPr>
          <w:b/>
          <w:bCs/>
          <w:color w:val="auto"/>
          <w:sz w:val="28"/>
          <w:szCs w:val="28"/>
        </w:rPr>
      </w:pPr>
      <w:r>
        <w:rPr>
          <w:rFonts w:hint="eastAsia"/>
          <w:b/>
          <w:bCs/>
          <w:color w:val="auto"/>
          <w:sz w:val="28"/>
          <w:szCs w:val="28"/>
        </w:rPr>
        <w:br w:type="page" w:clear="all"/>
      </w:r>
      <w:bookmarkStart w:id="157" w:name="_Toc12717"/>
      <w:bookmarkStart w:id="158" w:name="_Toc15636"/>
      <w:bookmarkStart w:id="159" w:name="_Toc28107"/>
      <w:r>
        <w:rPr>
          <w:rFonts w:hint="eastAsia"/>
          <w:b/>
          <w:bCs/>
          <w:color w:val="auto"/>
          <w:sz w:val="28"/>
          <w:szCs w:val="28"/>
        </w:rPr>
        <w:t>附件5 具备履行合同所必需的设备和专业技术能力的书面声明</w:t>
      </w:r>
      <w:bookmarkEnd w:id="156"/>
      <w:bookmarkEnd w:id="157"/>
      <w:bookmarkEnd w:id="158"/>
      <w:bookmarkEnd w:id="159"/>
    </w:p>
    <w:p w14:paraId="46845A10">
      <w:pPr>
        <w:spacing w:line="360" w:lineRule="auto"/>
        <w:ind w:firstLine="703"/>
        <w:jc w:val="center"/>
        <w:rPr>
          <w:b/>
          <w:bCs/>
          <w:color w:val="auto"/>
          <w:sz w:val="28"/>
          <w:szCs w:val="28"/>
        </w:rPr>
      </w:pPr>
    </w:p>
    <w:p w14:paraId="5E7FEBCE">
      <w:pPr>
        <w:spacing w:line="360" w:lineRule="auto"/>
        <w:ind w:firstLine="703"/>
        <w:jc w:val="center"/>
        <w:rPr>
          <w:color w:val="auto"/>
          <w:sz w:val="28"/>
          <w:szCs w:val="28"/>
        </w:rPr>
      </w:pPr>
      <w:r>
        <w:rPr>
          <w:rFonts w:hint="eastAsia"/>
          <w:b/>
          <w:bCs/>
          <w:color w:val="auto"/>
          <w:sz w:val="28"/>
          <w:szCs w:val="28"/>
        </w:rPr>
        <w:t>声  明</w:t>
      </w:r>
    </w:p>
    <w:p w14:paraId="6C862F6D">
      <w:pPr>
        <w:spacing w:line="360" w:lineRule="auto"/>
        <w:ind w:firstLine="600"/>
        <w:rPr>
          <w:color w:val="auto"/>
          <w:sz w:val="24"/>
          <w:szCs w:val="24"/>
        </w:rPr>
      </w:pPr>
      <w:r>
        <w:rPr>
          <w:rFonts w:hint="eastAsia"/>
          <w:color w:val="auto"/>
          <w:sz w:val="24"/>
          <w:szCs w:val="24"/>
        </w:rPr>
        <w:t>我单位郑重声明：我单位具备履行本项采购合同所必需的设备和专业技术能力，为履行本项采购合同我公司具备如下主要设备和主要专业技术能力：</w:t>
      </w:r>
    </w:p>
    <w:p w14:paraId="72D65085">
      <w:pPr>
        <w:spacing w:line="360" w:lineRule="auto"/>
        <w:ind w:firstLine="600"/>
        <w:rPr>
          <w:color w:val="auto"/>
          <w:sz w:val="24"/>
          <w:szCs w:val="24"/>
        </w:rPr>
      </w:pPr>
      <w:r>
        <w:rPr>
          <w:rFonts w:hint="eastAsia"/>
          <w:color w:val="auto"/>
          <w:sz w:val="24"/>
          <w:szCs w:val="24"/>
        </w:rPr>
        <w:t>主要设备有：</w:t>
      </w:r>
      <w:r>
        <w:rPr>
          <w:rFonts w:hint="eastAsia"/>
          <w:color w:val="auto"/>
          <w:sz w:val="24"/>
          <w:szCs w:val="24"/>
          <w:u w:val="single"/>
        </w:rPr>
        <w:t xml:space="preserve">      </w:t>
      </w:r>
      <w:r>
        <w:rPr>
          <w:rFonts w:hint="eastAsia"/>
          <w:color w:val="auto"/>
          <w:sz w:val="24"/>
          <w:szCs w:val="24"/>
        </w:rPr>
        <w:t>。</w:t>
      </w:r>
    </w:p>
    <w:p w14:paraId="22DBFC20">
      <w:pPr>
        <w:spacing w:line="360" w:lineRule="auto"/>
        <w:ind w:firstLine="600"/>
        <w:rPr>
          <w:color w:val="auto"/>
          <w:sz w:val="24"/>
          <w:szCs w:val="24"/>
        </w:rPr>
      </w:pPr>
      <w:r>
        <w:rPr>
          <w:rFonts w:hint="eastAsia"/>
          <w:color w:val="auto"/>
          <w:sz w:val="24"/>
          <w:szCs w:val="24"/>
        </w:rPr>
        <w:t>主要专业技术能力有：</w:t>
      </w:r>
      <w:r>
        <w:rPr>
          <w:rFonts w:hint="eastAsia"/>
          <w:color w:val="auto"/>
          <w:sz w:val="24"/>
          <w:szCs w:val="24"/>
          <w:u w:val="single"/>
        </w:rPr>
        <w:t xml:space="preserve">         </w:t>
      </w:r>
      <w:r>
        <w:rPr>
          <w:rFonts w:hint="eastAsia"/>
          <w:color w:val="auto"/>
          <w:sz w:val="24"/>
          <w:szCs w:val="24"/>
        </w:rPr>
        <w:t>。</w:t>
      </w:r>
    </w:p>
    <w:p w14:paraId="6C640A33">
      <w:pPr>
        <w:ind w:left="480" w:firstLine="602"/>
        <w:jc w:val="center"/>
        <w:rPr>
          <w:b/>
          <w:color w:val="auto"/>
          <w:sz w:val="24"/>
        </w:rPr>
      </w:pPr>
    </w:p>
    <w:p w14:paraId="54E837AB">
      <w:pPr>
        <w:pStyle w:val="2"/>
        <w:ind w:firstLine="700"/>
        <w:rPr>
          <w:rFonts w:ascii="Times New Roman"/>
          <w:color w:val="auto"/>
        </w:rPr>
      </w:pPr>
    </w:p>
    <w:p w14:paraId="6BAC7FBF">
      <w:pPr>
        <w:keepNext/>
        <w:spacing w:line="480" w:lineRule="auto"/>
        <w:jc w:val="center"/>
        <w:outlineLvl w:val="1"/>
        <w:rPr>
          <w:b/>
          <w:bCs/>
          <w:color w:val="auto"/>
          <w:sz w:val="24"/>
        </w:rPr>
      </w:pPr>
      <w:bookmarkStart w:id="160" w:name="_Toc1265"/>
      <w:bookmarkStart w:id="161" w:name="_Toc2785"/>
      <w:bookmarkStart w:id="162" w:name="_Toc8699"/>
      <w:bookmarkStart w:id="163" w:name="_Toc20964"/>
      <w:bookmarkStart w:id="164" w:name="_Toc24258"/>
      <w:r>
        <w:rPr>
          <w:b/>
          <w:bCs/>
          <w:color w:val="auto"/>
          <w:sz w:val="28"/>
          <w:szCs w:val="28"/>
        </w:rPr>
        <w:br w:type="page" w:clear="all"/>
      </w:r>
      <w:bookmarkStart w:id="165" w:name="_Toc5360"/>
      <w:bookmarkStart w:id="166" w:name="_Toc8463"/>
      <w:bookmarkStart w:id="167" w:name="_Toc30292"/>
      <w:r>
        <w:rPr>
          <w:rFonts w:hint="eastAsia"/>
          <w:b/>
          <w:bCs/>
          <w:color w:val="auto"/>
          <w:sz w:val="28"/>
          <w:szCs w:val="28"/>
        </w:rPr>
        <w:t>附件6 参加政府采购活动前3年内在经营活动中没有重大违法记录的书面声明</w:t>
      </w:r>
      <w:bookmarkEnd w:id="160"/>
      <w:bookmarkEnd w:id="161"/>
      <w:bookmarkEnd w:id="162"/>
      <w:bookmarkEnd w:id="163"/>
      <w:bookmarkEnd w:id="165"/>
      <w:bookmarkEnd w:id="166"/>
      <w:bookmarkEnd w:id="167"/>
    </w:p>
    <w:p w14:paraId="53ADC06A">
      <w:pPr>
        <w:spacing w:line="480" w:lineRule="auto"/>
        <w:ind w:firstLine="600"/>
        <w:rPr>
          <w:color w:val="auto"/>
          <w:sz w:val="24"/>
          <w:szCs w:val="24"/>
        </w:rPr>
      </w:pPr>
      <w:r>
        <w:rPr>
          <w:rFonts w:hint="eastAsia"/>
          <w:color w:val="auto"/>
          <w:sz w:val="24"/>
          <w:szCs w:val="24"/>
        </w:rPr>
        <w:t>我单位郑重声明：参加本次政府采购活动前3年内，我单位在经营活动中没有因违法经营受到刑事处罚或者责令停产停业、吊销许可证或者执照、较大数额罚款等行政处罚。</w:t>
      </w:r>
    </w:p>
    <w:p w14:paraId="4BBB906D">
      <w:pPr>
        <w:pStyle w:val="5"/>
        <w:spacing w:after="480"/>
        <w:rPr>
          <w:color w:val="auto"/>
        </w:rPr>
      </w:pPr>
      <w:r>
        <w:rPr>
          <w:rFonts w:hint="eastAsia"/>
          <w:color w:val="auto"/>
        </w:rPr>
        <w:br w:type="page" w:clear="all"/>
      </w:r>
      <w:bookmarkStart w:id="168" w:name="_Toc29179"/>
      <w:bookmarkStart w:id="169" w:name="_Toc20647"/>
      <w:bookmarkStart w:id="170" w:name="_Toc30582"/>
      <w:r>
        <w:rPr>
          <w:rFonts w:hint="eastAsia"/>
          <w:color w:val="auto"/>
        </w:rPr>
        <w:t>附件7 法定代表人授权书</w:t>
      </w:r>
      <w:bookmarkEnd w:id="164"/>
      <w:bookmarkEnd w:id="168"/>
      <w:bookmarkEnd w:id="169"/>
      <w:bookmarkEnd w:id="170"/>
    </w:p>
    <w:p w14:paraId="75A09157">
      <w:pPr>
        <w:rPr>
          <w:color w:val="auto"/>
        </w:rPr>
      </w:pPr>
    </w:p>
    <w:p w14:paraId="2BF4BE74">
      <w:pPr>
        <w:spacing w:line="480" w:lineRule="auto"/>
        <w:ind w:firstLine="482"/>
        <w:rPr>
          <w:color w:val="auto"/>
          <w:sz w:val="24"/>
          <w:szCs w:val="24"/>
        </w:rPr>
      </w:pPr>
      <w:r>
        <w:rPr>
          <w:color w:val="auto"/>
          <w:sz w:val="24"/>
          <w:szCs w:val="24"/>
        </w:rPr>
        <w:t>本授权书声明：</w:t>
      </w:r>
      <w:r>
        <w:rPr>
          <w:color w:val="auto"/>
          <w:sz w:val="24"/>
          <w:szCs w:val="24"/>
          <w:u w:val="single"/>
        </w:rPr>
        <w:t xml:space="preserve">    </w:t>
      </w:r>
      <w:r>
        <w:rPr>
          <w:rFonts w:hint="eastAsia"/>
          <w:color w:val="auto"/>
          <w:sz w:val="24"/>
          <w:szCs w:val="24"/>
          <w:u w:val="single"/>
        </w:rPr>
        <w:t xml:space="preserve"> </w:t>
      </w:r>
      <w:r>
        <w:rPr>
          <w:color w:val="auto"/>
          <w:sz w:val="24"/>
          <w:szCs w:val="24"/>
          <w:u w:val="single"/>
        </w:rPr>
        <w:t xml:space="preserve">  （供应商全称）       </w:t>
      </w:r>
      <w:r>
        <w:rPr>
          <w:color w:val="auto"/>
          <w:sz w:val="24"/>
          <w:szCs w:val="24"/>
        </w:rPr>
        <w:t>授权</w:t>
      </w:r>
      <w:r>
        <w:rPr>
          <w:color w:val="auto"/>
          <w:sz w:val="24"/>
          <w:szCs w:val="24"/>
          <w:u w:val="single"/>
        </w:rPr>
        <w:t xml:space="preserve">   （被授权人的姓名）   </w:t>
      </w:r>
      <w:r>
        <w:rPr>
          <w:color w:val="auto"/>
          <w:sz w:val="24"/>
          <w:szCs w:val="24"/>
        </w:rPr>
        <w:t>为本公司就</w:t>
      </w:r>
      <w:r>
        <w:rPr>
          <w:rFonts w:hint="eastAsia"/>
          <w:color w:val="auto"/>
          <w:sz w:val="24"/>
          <w:szCs w:val="22"/>
          <w:u w:val="single"/>
        </w:rPr>
        <w:t>2026年度江苏省预算管理一体化系统常熟地区实施及运维服务</w:t>
      </w:r>
      <w:r>
        <w:rPr>
          <w:color w:val="auto"/>
          <w:sz w:val="24"/>
          <w:szCs w:val="24"/>
        </w:rPr>
        <w:t>项目（</w:t>
      </w:r>
      <w:r>
        <w:rPr>
          <w:rFonts w:hint="eastAsia"/>
          <w:color w:val="auto"/>
          <w:sz w:val="24"/>
          <w:szCs w:val="24"/>
          <w:u w:val="single"/>
        </w:rPr>
        <w:t>项目编号：</w:t>
      </w:r>
      <w:r>
        <w:rPr>
          <w:rFonts w:hint="eastAsia"/>
          <w:color w:val="auto"/>
          <w:sz w:val="24"/>
          <w:szCs w:val="24"/>
          <w:u w:val="single"/>
          <w:lang w:eastAsia="zh-CN"/>
        </w:rPr>
        <w:t>JSZC-320581-XTPC-C2025-0040</w:t>
      </w:r>
      <w:r>
        <w:rPr>
          <w:color w:val="auto"/>
          <w:sz w:val="24"/>
          <w:szCs w:val="24"/>
        </w:rPr>
        <w:t>）采购活动的合法代理人，以本公司名义处理一切与该项目采购有关的事务。</w:t>
      </w:r>
    </w:p>
    <w:p w14:paraId="673B27C1">
      <w:pPr>
        <w:spacing w:line="480" w:lineRule="auto"/>
        <w:ind w:firstLine="482"/>
        <w:rPr>
          <w:color w:val="auto"/>
          <w:sz w:val="24"/>
          <w:szCs w:val="24"/>
        </w:rPr>
      </w:pPr>
      <w:r>
        <w:rPr>
          <w:color w:val="auto"/>
          <w:sz w:val="24"/>
          <w:szCs w:val="24"/>
        </w:rPr>
        <w:t>本授权书于</w:t>
      </w:r>
      <w:r>
        <w:rPr>
          <w:color w:val="auto"/>
          <w:sz w:val="24"/>
          <w:szCs w:val="24"/>
          <w:u w:val="single"/>
        </w:rPr>
        <w:t xml:space="preserve"> </w:t>
      </w:r>
      <w:r>
        <w:rPr>
          <w:rFonts w:hint="eastAsia"/>
          <w:color w:val="auto"/>
          <w:sz w:val="24"/>
          <w:szCs w:val="24"/>
          <w:u w:val="single"/>
        </w:rPr>
        <w:t xml:space="preserve">   </w:t>
      </w:r>
      <w:r>
        <w:rPr>
          <w:color w:val="auto"/>
          <w:sz w:val="24"/>
          <w:szCs w:val="24"/>
          <w:u w:val="single"/>
        </w:rPr>
        <w:t xml:space="preserve"> </w:t>
      </w:r>
      <w:r>
        <w:rPr>
          <w:color w:val="auto"/>
          <w:sz w:val="24"/>
          <w:szCs w:val="24"/>
        </w:rPr>
        <w:t>年</w:t>
      </w:r>
      <w:r>
        <w:rPr>
          <w:color w:val="auto"/>
          <w:sz w:val="24"/>
          <w:szCs w:val="24"/>
          <w:u w:val="single"/>
        </w:rPr>
        <w:t xml:space="preserve">    </w:t>
      </w:r>
      <w:r>
        <w:rPr>
          <w:color w:val="auto"/>
          <w:sz w:val="24"/>
          <w:szCs w:val="24"/>
        </w:rPr>
        <w:t>月</w:t>
      </w:r>
      <w:r>
        <w:rPr>
          <w:color w:val="auto"/>
          <w:sz w:val="24"/>
          <w:szCs w:val="24"/>
          <w:u w:val="single"/>
        </w:rPr>
        <w:t xml:space="preserve">  </w:t>
      </w:r>
      <w:r>
        <w:rPr>
          <w:rFonts w:hint="eastAsia"/>
          <w:color w:val="auto"/>
          <w:sz w:val="24"/>
          <w:szCs w:val="24"/>
          <w:u w:val="single"/>
        </w:rPr>
        <w:t xml:space="preserve"> </w:t>
      </w:r>
      <w:r>
        <w:rPr>
          <w:color w:val="auto"/>
          <w:sz w:val="24"/>
          <w:szCs w:val="24"/>
          <w:u w:val="single"/>
        </w:rPr>
        <w:t xml:space="preserve">  </w:t>
      </w:r>
      <w:r>
        <w:rPr>
          <w:color w:val="auto"/>
          <w:sz w:val="24"/>
          <w:szCs w:val="24"/>
        </w:rPr>
        <w:t>日</w:t>
      </w:r>
      <w:r>
        <w:rPr>
          <w:rFonts w:hint="eastAsia"/>
          <w:color w:val="auto"/>
          <w:sz w:val="24"/>
          <w:szCs w:val="24"/>
        </w:rPr>
        <w:t>起</w:t>
      </w:r>
      <w:r>
        <w:rPr>
          <w:color w:val="auto"/>
          <w:sz w:val="24"/>
          <w:szCs w:val="24"/>
        </w:rPr>
        <w:t>生效，特此声明。</w:t>
      </w:r>
    </w:p>
    <w:p w14:paraId="6370F91E">
      <w:pPr>
        <w:rPr>
          <w:color w:val="auto"/>
          <w:sz w:val="24"/>
          <w:szCs w:val="24"/>
        </w:rPr>
      </w:pPr>
    </w:p>
    <w:p w14:paraId="0011E438">
      <w:pPr>
        <w:rPr>
          <w:color w:val="auto"/>
          <w:sz w:val="24"/>
          <w:szCs w:val="24"/>
        </w:rPr>
      </w:pPr>
    </w:p>
    <w:p w14:paraId="496CF689">
      <w:pPr>
        <w:rPr>
          <w:color w:val="auto"/>
          <w:sz w:val="24"/>
          <w:szCs w:val="24"/>
        </w:rPr>
      </w:pPr>
    </w:p>
    <w:p w14:paraId="743AB677">
      <w:pPr>
        <w:rPr>
          <w:color w:val="auto"/>
          <w:sz w:val="24"/>
          <w:szCs w:val="24"/>
        </w:rPr>
      </w:pPr>
    </w:p>
    <w:p w14:paraId="0B76F2C3">
      <w:pPr>
        <w:rPr>
          <w:color w:val="auto"/>
          <w:sz w:val="24"/>
          <w:szCs w:val="24"/>
        </w:rPr>
      </w:pPr>
    </w:p>
    <w:p w14:paraId="6D4BDC4F">
      <w:pPr>
        <w:rPr>
          <w:color w:val="auto"/>
          <w:sz w:val="24"/>
          <w:szCs w:val="24"/>
        </w:rPr>
      </w:pPr>
    </w:p>
    <w:p w14:paraId="124FA8C1">
      <w:pPr>
        <w:spacing w:line="600" w:lineRule="exact"/>
        <w:rPr>
          <w:color w:val="auto"/>
          <w:sz w:val="24"/>
          <w:szCs w:val="24"/>
        </w:rPr>
      </w:pPr>
      <w:r>
        <w:rPr>
          <w:color w:val="auto"/>
          <w:sz w:val="24"/>
          <w:szCs w:val="24"/>
        </w:rPr>
        <w:t>被授权人身份证号码：</w:t>
      </w:r>
      <w:r>
        <w:rPr>
          <w:color w:val="auto"/>
          <w:sz w:val="24"/>
          <w:szCs w:val="24"/>
          <w:u w:val="single"/>
        </w:rPr>
        <w:t xml:space="preserve">                              </w:t>
      </w:r>
    </w:p>
    <w:p w14:paraId="1509B6E1">
      <w:pPr>
        <w:spacing w:line="600" w:lineRule="exact"/>
        <w:rPr>
          <w:color w:val="auto"/>
          <w:sz w:val="24"/>
          <w:szCs w:val="24"/>
        </w:rPr>
      </w:pPr>
      <w:r>
        <w:rPr>
          <w:color w:val="auto"/>
          <w:sz w:val="24"/>
          <w:szCs w:val="24"/>
        </w:rPr>
        <w:t>被授权人联系电话（手机）：</w:t>
      </w:r>
      <w:r>
        <w:rPr>
          <w:color w:val="auto"/>
          <w:sz w:val="24"/>
          <w:szCs w:val="24"/>
          <w:u w:val="single"/>
        </w:rPr>
        <w:t xml:space="preserve">                        </w:t>
      </w:r>
    </w:p>
    <w:p w14:paraId="30B98325">
      <w:pPr>
        <w:spacing w:line="600" w:lineRule="exact"/>
        <w:rPr>
          <w:b/>
          <w:bCs/>
          <w:color w:val="auto"/>
          <w:sz w:val="24"/>
          <w:szCs w:val="24"/>
        </w:rPr>
      </w:pPr>
      <w:r>
        <w:rPr>
          <w:b/>
          <w:bCs/>
          <w:color w:val="auto"/>
          <w:sz w:val="24"/>
          <w:szCs w:val="24"/>
        </w:rPr>
        <w:t>授权单位名称：</w:t>
      </w:r>
      <w:r>
        <w:rPr>
          <w:b/>
          <w:bCs/>
          <w:color w:val="auto"/>
          <w:sz w:val="24"/>
          <w:szCs w:val="24"/>
          <w:u w:val="single"/>
        </w:rPr>
        <w:t>（加盖CA电子公章）</w:t>
      </w:r>
    </w:p>
    <w:p w14:paraId="57E8FF20">
      <w:pPr>
        <w:spacing w:line="600" w:lineRule="exact"/>
        <w:rPr>
          <w:color w:val="auto"/>
          <w:sz w:val="24"/>
          <w:szCs w:val="24"/>
        </w:rPr>
      </w:pPr>
      <w:r>
        <w:rPr>
          <w:color w:val="auto"/>
          <w:sz w:val="24"/>
          <w:szCs w:val="24"/>
        </w:rPr>
        <w:t>单位地址：</w:t>
      </w:r>
      <w:r>
        <w:rPr>
          <w:color w:val="auto"/>
          <w:sz w:val="24"/>
          <w:szCs w:val="24"/>
          <w:u w:val="single"/>
        </w:rPr>
        <w:t xml:space="preserve">                       </w:t>
      </w:r>
      <w:r>
        <w:rPr>
          <w:rFonts w:hint="eastAsia"/>
          <w:color w:val="auto"/>
          <w:sz w:val="24"/>
          <w:szCs w:val="24"/>
          <w:u w:val="single"/>
        </w:rPr>
        <w:t xml:space="preserve">        </w:t>
      </w:r>
      <w:r>
        <w:rPr>
          <w:color w:val="auto"/>
          <w:sz w:val="24"/>
          <w:szCs w:val="24"/>
          <w:u w:val="single"/>
        </w:rPr>
        <w:t xml:space="preserve">       </w:t>
      </w:r>
    </w:p>
    <w:p w14:paraId="209062EA">
      <w:pPr>
        <w:spacing w:line="600" w:lineRule="exact"/>
        <w:rPr>
          <w:color w:val="auto"/>
          <w:sz w:val="24"/>
          <w:szCs w:val="24"/>
        </w:rPr>
      </w:pPr>
      <w:r>
        <w:rPr>
          <w:color w:val="auto"/>
          <w:sz w:val="24"/>
          <w:szCs w:val="24"/>
        </w:rPr>
        <w:t>日期：</w:t>
      </w:r>
      <w:r>
        <w:rPr>
          <w:color w:val="auto"/>
          <w:sz w:val="24"/>
          <w:szCs w:val="24"/>
          <w:u w:val="single"/>
        </w:rPr>
        <w:t xml:space="preserve">                       </w:t>
      </w:r>
      <w:r>
        <w:rPr>
          <w:rFonts w:hint="eastAsia"/>
          <w:color w:val="auto"/>
          <w:sz w:val="24"/>
          <w:szCs w:val="24"/>
          <w:u w:val="single"/>
        </w:rPr>
        <w:t xml:space="preserve">         </w:t>
      </w:r>
      <w:r>
        <w:rPr>
          <w:color w:val="auto"/>
          <w:sz w:val="24"/>
          <w:szCs w:val="24"/>
          <w:u w:val="single"/>
        </w:rPr>
        <w:t xml:space="preserve">     </w:t>
      </w:r>
      <w:r>
        <w:rPr>
          <w:rFonts w:hint="eastAsia"/>
          <w:color w:val="auto"/>
          <w:sz w:val="24"/>
          <w:szCs w:val="24"/>
          <w:u w:val="single"/>
        </w:rPr>
        <w:t xml:space="preserve">  </w:t>
      </w:r>
      <w:r>
        <w:rPr>
          <w:color w:val="auto"/>
          <w:sz w:val="24"/>
          <w:szCs w:val="24"/>
          <w:u w:val="single"/>
        </w:rPr>
        <w:t xml:space="preserve">  </w:t>
      </w:r>
    </w:p>
    <w:p w14:paraId="5E2F8140">
      <w:pPr>
        <w:pStyle w:val="5"/>
        <w:rPr>
          <w:color w:val="auto"/>
        </w:rPr>
      </w:pPr>
      <w:r>
        <w:rPr>
          <w:color w:val="auto"/>
        </w:rPr>
        <w:br w:type="page" w:clear="all"/>
      </w:r>
      <w:bookmarkStart w:id="171" w:name="_Toc17769"/>
      <w:bookmarkStart w:id="172" w:name="_Toc18107"/>
      <w:bookmarkStart w:id="173" w:name="_Toc11360"/>
      <w:r>
        <w:rPr>
          <w:rFonts w:hint="eastAsia"/>
          <w:color w:val="auto"/>
        </w:rPr>
        <w:t xml:space="preserve">附件8 </w:t>
      </w:r>
      <w:r>
        <w:rPr>
          <w:color w:val="auto"/>
        </w:rPr>
        <w:t>磋商</w:t>
      </w:r>
      <w:r>
        <w:rPr>
          <w:rFonts w:hint="eastAsia"/>
          <w:color w:val="auto"/>
        </w:rPr>
        <w:t>响应</w:t>
      </w:r>
      <w:r>
        <w:rPr>
          <w:color w:val="auto"/>
        </w:rPr>
        <w:t>函</w:t>
      </w:r>
      <w:bookmarkEnd w:id="150"/>
      <w:bookmarkEnd w:id="151"/>
      <w:bookmarkEnd w:id="152"/>
      <w:bookmarkEnd w:id="171"/>
      <w:bookmarkEnd w:id="172"/>
      <w:bookmarkEnd w:id="173"/>
    </w:p>
    <w:p w14:paraId="5F7E50B6">
      <w:pPr>
        <w:spacing w:line="470" w:lineRule="exact"/>
        <w:rPr>
          <w:color w:val="auto"/>
          <w:sz w:val="24"/>
          <w:szCs w:val="24"/>
        </w:rPr>
      </w:pPr>
      <w:r>
        <w:rPr>
          <w:color w:val="auto"/>
          <w:sz w:val="24"/>
          <w:szCs w:val="24"/>
        </w:rPr>
        <w:t>致：</w:t>
      </w:r>
      <w:r>
        <w:rPr>
          <w:rFonts w:hint="eastAsia"/>
          <w:color w:val="auto"/>
          <w:sz w:val="24"/>
          <w:szCs w:val="24"/>
        </w:rPr>
        <w:t>苏州新天平工程咨询有限公司</w:t>
      </w:r>
    </w:p>
    <w:p w14:paraId="0BEB3581">
      <w:pPr>
        <w:spacing w:line="470" w:lineRule="exact"/>
        <w:ind w:firstLine="480"/>
        <w:rPr>
          <w:color w:val="auto"/>
          <w:sz w:val="24"/>
          <w:szCs w:val="24"/>
        </w:rPr>
      </w:pPr>
      <w:r>
        <w:rPr>
          <w:color w:val="auto"/>
          <w:sz w:val="24"/>
          <w:szCs w:val="24"/>
        </w:rPr>
        <w:t>根据贵方的</w:t>
      </w:r>
      <w:r>
        <w:rPr>
          <w:rFonts w:hint="eastAsia"/>
          <w:color w:val="auto"/>
          <w:sz w:val="24"/>
          <w:szCs w:val="22"/>
          <w:u w:val="single"/>
        </w:rPr>
        <w:t>2026年度江苏省预算管理一体化系统常熟地区实施及运维服务</w:t>
      </w:r>
      <w:r>
        <w:rPr>
          <w:color w:val="auto"/>
          <w:sz w:val="24"/>
          <w:szCs w:val="24"/>
        </w:rPr>
        <w:t>项目</w:t>
      </w:r>
      <w:r>
        <w:rPr>
          <w:rFonts w:hint="eastAsia"/>
          <w:color w:val="auto"/>
          <w:sz w:val="24"/>
          <w:szCs w:val="24"/>
        </w:rPr>
        <w:t>磋商</w:t>
      </w:r>
      <w:r>
        <w:rPr>
          <w:color w:val="auto"/>
          <w:sz w:val="24"/>
          <w:szCs w:val="24"/>
        </w:rPr>
        <w:t>文件（项目编号：</w:t>
      </w:r>
      <w:r>
        <w:rPr>
          <w:rFonts w:hint="eastAsia"/>
          <w:color w:val="auto"/>
          <w:sz w:val="24"/>
          <w:szCs w:val="24"/>
          <w:u w:val="single"/>
          <w:lang w:eastAsia="zh-CN"/>
        </w:rPr>
        <w:t>JSZC-320581-XTPC-C2025-0040</w:t>
      </w:r>
      <w:r>
        <w:rPr>
          <w:color w:val="auto"/>
          <w:sz w:val="24"/>
          <w:szCs w:val="24"/>
        </w:rPr>
        <w:t>），</w:t>
      </w:r>
      <w:r>
        <w:rPr>
          <w:rFonts w:hint="eastAsia"/>
          <w:color w:val="auto"/>
          <w:sz w:val="24"/>
          <w:szCs w:val="24"/>
        </w:rPr>
        <w:t>正式授权下述人员</w:t>
      </w:r>
      <w:r>
        <w:rPr>
          <w:rFonts w:hint="eastAsia"/>
          <w:color w:val="auto"/>
          <w:sz w:val="24"/>
          <w:szCs w:val="24"/>
          <w:u w:val="single"/>
        </w:rPr>
        <w:t xml:space="preserve"> </w:t>
      </w:r>
      <w:r>
        <w:rPr>
          <w:color w:val="auto"/>
          <w:sz w:val="24"/>
          <w:szCs w:val="24"/>
          <w:u w:val="single"/>
        </w:rPr>
        <w:t>（</w:t>
      </w:r>
      <w:r>
        <w:rPr>
          <w:rFonts w:hint="eastAsia"/>
          <w:color w:val="auto"/>
          <w:sz w:val="24"/>
          <w:szCs w:val="24"/>
          <w:u w:val="single"/>
        </w:rPr>
        <w:t>姓名</w:t>
      </w:r>
      <w:r>
        <w:rPr>
          <w:color w:val="auto"/>
          <w:sz w:val="24"/>
          <w:szCs w:val="24"/>
          <w:u w:val="single"/>
        </w:rPr>
        <w:t>）</w:t>
      </w:r>
      <w:r>
        <w:rPr>
          <w:rFonts w:hint="eastAsia"/>
          <w:color w:val="auto"/>
          <w:sz w:val="24"/>
          <w:szCs w:val="24"/>
          <w:u w:val="single"/>
        </w:rPr>
        <w:t xml:space="preserve"> </w:t>
      </w:r>
      <w:r>
        <w:rPr>
          <w:rFonts w:hint="eastAsia"/>
          <w:color w:val="auto"/>
          <w:sz w:val="24"/>
          <w:szCs w:val="24"/>
        </w:rPr>
        <w:t>代表我方</w:t>
      </w:r>
      <w:r>
        <w:rPr>
          <w:rFonts w:hint="eastAsia"/>
          <w:color w:val="auto"/>
          <w:sz w:val="24"/>
          <w:szCs w:val="24"/>
          <w:u w:val="single"/>
        </w:rPr>
        <w:t xml:space="preserve"> </w:t>
      </w:r>
      <w:r>
        <w:rPr>
          <w:color w:val="auto"/>
          <w:sz w:val="24"/>
          <w:szCs w:val="24"/>
          <w:u w:val="single"/>
        </w:rPr>
        <w:t>（</w:t>
      </w:r>
      <w:r>
        <w:rPr>
          <w:rFonts w:hint="eastAsia"/>
          <w:color w:val="auto"/>
          <w:sz w:val="24"/>
          <w:szCs w:val="24"/>
          <w:u w:val="single"/>
        </w:rPr>
        <w:t>供应商</w:t>
      </w:r>
      <w:r>
        <w:rPr>
          <w:color w:val="auto"/>
          <w:sz w:val="24"/>
          <w:szCs w:val="24"/>
          <w:u w:val="single"/>
        </w:rPr>
        <w:t>全称）</w:t>
      </w:r>
      <w:r>
        <w:rPr>
          <w:rFonts w:hint="eastAsia"/>
          <w:color w:val="auto"/>
          <w:sz w:val="24"/>
          <w:szCs w:val="24"/>
          <w:u w:val="single"/>
        </w:rPr>
        <w:t xml:space="preserve"> </w:t>
      </w:r>
      <w:r>
        <w:rPr>
          <w:rFonts w:hint="eastAsia"/>
          <w:color w:val="auto"/>
          <w:szCs w:val="21"/>
        </w:rPr>
        <w:t>，</w:t>
      </w:r>
      <w:r>
        <w:rPr>
          <w:rFonts w:hint="eastAsia"/>
          <w:color w:val="auto"/>
          <w:sz w:val="24"/>
          <w:szCs w:val="24"/>
        </w:rPr>
        <w:t>全权处理本次项目投标的有关事宜。</w:t>
      </w:r>
    </w:p>
    <w:p w14:paraId="5970521B">
      <w:pPr>
        <w:spacing w:line="470" w:lineRule="exact"/>
        <w:ind w:firstLine="480"/>
        <w:rPr>
          <w:color w:val="auto"/>
          <w:sz w:val="24"/>
          <w:szCs w:val="24"/>
        </w:rPr>
      </w:pPr>
      <w:r>
        <w:rPr>
          <w:color w:val="auto"/>
          <w:sz w:val="24"/>
          <w:szCs w:val="24"/>
        </w:rPr>
        <w:t>据此函，</w:t>
      </w:r>
      <w:r>
        <w:rPr>
          <w:rFonts w:hint="eastAsia"/>
          <w:color w:val="auto"/>
          <w:sz w:val="24"/>
          <w:szCs w:val="24"/>
          <w:u w:val="single"/>
        </w:rPr>
        <w:t xml:space="preserve"> </w:t>
      </w:r>
      <w:r>
        <w:rPr>
          <w:color w:val="auto"/>
          <w:sz w:val="24"/>
          <w:szCs w:val="24"/>
          <w:u w:val="single"/>
        </w:rPr>
        <w:t>（</w:t>
      </w:r>
      <w:r>
        <w:rPr>
          <w:rFonts w:hint="eastAsia"/>
          <w:color w:val="auto"/>
          <w:sz w:val="24"/>
          <w:szCs w:val="24"/>
          <w:u w:val="single"/>
        </w:rPr>
        <w:t>姓名</w:t>
      </w:r>
      <w:r>
        <w:rPr>
          <w:color w:val="auto"/>
          <w:sz w:val="24"/>
          <w:szCs w:val="24"/>
          <w:u w:val="single"/>
        </w:rPr>
        <w:t>）</w:t>
      </w:r>
      <w:r>
        <w:rPr>
          <w:rFonts w:hint="eastAsia"/>
          <w:color w:val="auto"/>
          <w:sz w:val="24"/>
          <w:szCs w:val="24"/>
          <w:u w:val="single"/>
        </w:rPr>
        <w:t xml:space="preserve"> </w:t>
      </w:r>
      <w:r>
        <w:rPr>
          <w:rFonts w:hint="eastAsia"/>
          <w:color w:val="auto"/>
          <w:sz w:val="24"/>
          <w:szCs w:val="24"/>
        </w:rPr>
        <w:t>代表兹宣布同意如下</w:t>
      </w:r>
      <w:r>
        <w:rPr>
          <w:color w:val="auto"/>
          <w:sz w:val="24"/>
          <w:szCs w:val="24"/>
        </w:rPr>
        <w:t>：</w:t>
      </w:r>
    </w:p>
    <w:p w14:paraId="450AB125">
      <w:pPr>
        <w:spacing w:line="470" w:lineRule="exact"/>
        <w:ind w:firstLine="480"/>
        <w:rPr>
          <w:color w:val="auto"/>
          <w:sz w:val="24"/>
          <w:szCs w:val="24"/>
        </w:rPr>
      </w:pPr>
      <w:r>
        <w:rPr>
          <w:rFonts w:hint="eastAsia"/>
          <w:color w:val="auto"/>
          <w:sz w:val="24"/>
          <w:szCs w:val="24"/>
        </w:rPr>
        <w:t>1、按</w:t>
      </w:r>
      <w:r>
        <w:rPr>
          <w:color w:val="auto"/>
          <w:sz w:val="24"/>
          <w:szCs w:val="24"/>
        </w:rPr>
        <w:t>磋商</w:t>
      </w:r>
      <w:r>
        <w:rPr>
          <w:rFonts w:hint="eastAsia"/>
          <w:color w:val="auto"/>
          <w:sz w:val="24"/>
          <w:szCs w:val="24"/>
        </w:rPr>
        <w:t>文件规定的各项要求，向采购人提供所需服务（包含与服务相关的货物）。</w:t>
      </w:r>
    </w:p>
    <w:p w14:paraId="463AC264">
      <w:pPr>
        <w:spacing w:line="470" w:lineRule="exact"/>
        <w:ind w:firstLine="480"/>
        <w:rPr>
          <w:color w:val="auto"/>
          <w:sz w:val="24"/>
          <w:szCs w:val="24"/>
        </w:rPr>
      </w:pPr>
      <w:r>
        <w:rPr>
          <w:rFonts w:hint="eastAsia"/>
          <w:color w:val="auto"/>
          <w:sz w:val="24"/>
          <w:szCs w:val="24"/>
        </w:rPr>
        <w:t>2、我们完全理解贵方不一定将合同授予最低报价的供应商。</w:t>
      </w:r>
    </w:p>
    <w:p w14:paraId="57404A06">
      <w:pPr>
        <w:spacing w:line="470" w:lineRule="exact"/>
        <w:ind w:firstLine="480"/>
        <w:rPr>
          <w:color w:val="auto"/>
          <w:sz w:val="24"/>
          <w:szCs w:val="24"/>
        </w:rPr>
      </w:pPr>
      <w:r>
        <w:rPr>
          <w:rFonts w:hint="eastAsia"/>
          <w:color w:val="auto"/>
          <w:sz w:val="24"/>
          <w:szCs w:val="24"/>
        </w:rPr>
        <w:t>3、我们已详细审核全部</w:t>
      </w:r>
      <w:r>
        <w:rPr>
          <w:color w:val="auto"/>
          <w:sz w:val="24"/>
          <w:szCs w:val="24"/>
        </w:rPr>
        <w:t>磋商</w:t>
      </w:r>
      <w:r>
        <w:rPr>
          <w:rFonts w:hint="eastAsia"/>
          <w:color w:val="auto"/>
          <w:sz w:val="24"/>
          <w:szCs w:val="24"/>
        </w:rPr>
        <w:t>文件及其有效补充文件，我们知道必须放弃提出含糊不清或误解问题的权利。</w:t>
      </w:r>
    </w:p>
    <w:p w14:paraId="58649DE6">
      <w:pPr>
        <w:spacing w:line="470" w:lineRule="exact"/>
        <w:ind w:firstLine="480"/>
        <w:rPr>
          <w:color w:val="auto"/>
          <w:sz w:val="24"/>
          <w:szCs w:val="24"/>
        </w:rPr>
      </w:pPr>
      <w:r>
        <w:rPr>
          <w:rFonts w:hint="eastAsia"/>
          <w:color w:val="auto"/>
          <w:sz w:val="24"/>
          <w:szCs w:val="24"/>
        </w:rPr>
        <w:t>4、</w:t>
      </w:r>
      <w:r>
        <w:rPr>
          <w:color w:val="auto"/>
          <w:sz w:val="24"/>
          <w:szCs w:val="24"/>
        </w:rPr>
        <w:t>我方同意磋商有效期为响应文件提交截止之日</w:t>
      </w:r>
      <w:r>
        <w:rPr>
          <w:rFonts w:hint="eastAsia"/>
          <w:color w:val="auto"/>
          <w:sz w:val="24"/>
          <w:szCs w:val="24"/>
        </w:rPr>
        <w:t>后的</w:t>
      </w:r>
      <w:r>
        <w:rPr>
          <w:color w:val="auto"/>
          <w:sz w:val="24"/>
          <w:szCs w:val="24"/>
        </w:rPr>
        <w:t>六十（60）天</w:t>
      </w:r>
      <w:r>
        <w:rPr>
          <w:rFonts w:hint="eastAsia"/>
          <w:color w:val="auto"/>
          <w:sz w:val="24"/>
          <w:szCs w:val="24"/>
        </w:rPr>
        <w:t>。</w:t>
      </w:r>
    </w:p>
    <w:p w14:paraId="270A529A">
      <w:pPr>
        <w:spacing w:line="470" w:lineRule="exact"/>
        <w:ind w:firstLine="480"/>
        <w:rPr>
          <w:color w:val="auto"/>
          <w:sz w:val="24"/>
          <w:szCs w:val="24"/>
        </w:rPr>
      </w:pPr>
      <w:r>
        <w:rPr>
          <w:rFonts w:hint="eastAsia"/>
          <w:color w:val="auto"/>
          <w:sz w:val="24"/>
          <w:szCs w:val="24"/>
        </w:rPr>
        <w:t>5、我们同意从规定的开标日期起遵循本响应文件，并在规定的磋商有效期期满之前均具有约束力。</w:t>
      </w:r>
    </w:p>
    <w:p w14:paraId="520FB3D0">
      <w:pPr>
        <w:spacing w:line="470" w:lineRule="exact"/>
        <w:ind w:firstLine="480"/>
        <w:rPr>
          <w:color w:val="auto"/>
          <w:sz w:val="24"/>
          <w:szCs w:val="24"/>
        </w:rPr>
      </w:pPr>
      <w:r>
        <w:rPr>
          <w:rFonts w:hint="eastAsia"/>
          <w:color w:val="auto"/>
          <w:sz w:val="24"/>
          <w:szCs w:val="24"/>
        </w:rPr>
        <w:t>6、同意向贵方提供贵方可能另外要求的与</w:t>
      </w:r>
      <w:r>
        <w:rPr>
          <w:color w:val="auto"/>
          <w:sz w:val="24"/>
          <w:szCs w:val="24"/>
        </w:rPr>
        <w:t>本</w:t>
      </w:r>
      <w:r>
        <w:rPr>
          <w:rFonts w:hint="eastAsia"/>
          <w:color w:val="auto"/>
          <w:sz w:val="24"/>
          <w:szCs w:val="24"/>
        </w:rPr>
        <w:t>项目有关的任何证据或资料，并保证我方已提供和将要提供的文件是真实的、准确的。</w:t>
      </w:r>
    </w:p>
    <w:p w14:paraId="3F72128C">
      <w:pPr>
        <w:spacing w:line="470" w:lineRule="exact"/>
        <w:ind w:firstLine="480"/>
        <w:rPr>
          <w:color w:val="auto"/>
          <w:sz w:val="24"/>
          <w:szCs w:val="24"/>
        </w:rPr>
      </w:pPr>
      <w:r>
        <w:rPr>
          <w:rFonts w:hint="eastAsia"/>
          <w:color w:val="auto"/>
          <w:sz w:val="24"/>
          <w:szCs w:val="24"/>
        </w:rPr>
        <w:t>7、一旦我方</w:t>
      </w:r>
      <w:r>
        <w:rPr>
          <w:color w:val="auto"/>
          <w:sz w:val="24"/>
          <w:szCs w:val="24"/>
        </w:rPr>
        <w:t>成交</w:t>
      </w:r>
      <w:r>
        <w:rPr>
          <w:rFonts w:hint="eastAsia"/>
          <w:color w:val="auto"/>
          <w:sz w:val="24"/>
          <w:szCs w:val="24"/>
        </w:rPr>
        <w:t>，我方将根据磋商文件的规定，严格履行合同的责任和义务，并保证在磋商文件规定的时间完成项目。</w:t>
      </w:r>
    </w:p>
    <w:p w14:paraId="163E527D">
      <w:pPr>
        <w:spacing w:line="470" w:lineRule="exact"/>
        <w:ind w:firstLine="480"/>
        <w:rPr>
          <w:color w:val="auto"/>
          <w:sz w:val="24"/>
          <w:szCs w:val="24"/>
        </w:rPr>
      </w:pPr>
      <w:r>
        <w:rPr>
          <w:rFonts w:hint="eastAsia"/>
          <w:color w:val="auto"/>
          <w:sz w:val="24"/>
          <w:szCs w:val="24"/>
        </w:rPr>
        <w:t>8、与本项目有关的正式通讯地址为：</w:t>
      </w:r>
    </w:p>
    <w:p w14:paraId="6FEF3FC7">
      <w:pPr>
        <w:pStyle w:val="283"/>
        <w:spacing w:before="0" w:after="0" w:line="470" w:lineRule="exact"/>
        <w:ind w:left="420" w:firstLine="600"/>
        <w:rPr>
          <w:rFonts w:ascii="Times New Roman" w:hAnsi="Times New Roman"/>
          <w:color w:val="auto"/>
          <w:szCs w:val="21"/>
        </w:rPr>
      </w:pPr>
      <w:r>
        <w:rPr>
          <w:rFonts w:hint="eastAsia" w:ascii="Times New Roman" w:hAnsi="Times New Roman"/>
          <w:color w:val="auto"/>
          <w:szCs w:val="21"/>
        </w:rPr>
        <w:t>地        址：</w:t>
      </w:r>
    </w:p>
    <w:p w14:paraId="486EA23D">
      <w:pPr>
        <w:pStyle w:val="283"/>
        <w:spacing w:before="0" w:after="0" w:line="470" w:lineRule="exact"/>
        <w:ind w:left="420" w:firstLine="600"/>
        <w:rPr>
          <w:rFonts w:ascii="Times New Roman" w:hAnsi="Times New Roman"/>
          <w:color w:val="auto"/>
          <w:szCs w:val="21"/>
        </w:rPr>
      </w:pPr>
      <w:r>
        <w:rPr>
          <w:rFonts w:hint="eastAsia" w:ascii="Times New Roman" w:hAnsi="Times New Roman"/>
          <w:color w:val="auto"/>
          <w:szCs w:val="21"/>
        </w:rPr>
        <w:t>邮        编：</w:t>
      </w:r>
    </w:p>
    <w:p w14:paraId="5752DC32">
      <w:pPr>
        <w:pStyle w:val="283"/>
        <w:spacing w:before="0" w:after="0" w:line="470" w:lineRule="exact"/>
        <w:ind w:left="420" w:firstLine="600"/>
        <w:rPr>
          <w:rFonts w:ascii="Times New Roman" w:hAnsi="Times New Roman"/>
          <w:color w:val="auto"/>
          <w:szCs w:val="21"/>
        </w:rPr>
      </w:pPr>
      <w:r>
        <w:rPr>
          <w:rFonts w:hint="eastAsia" w:ascii="Times New Roman" w:hAnsi="Times New Roman"/>
          <w:color w:val="auto"/>
          <w:szCs w:val="21"/>
        </w:rPr>
        <w:t>电        话：</w:t>
      </w:r>
    </w:p>
    <w:p w14:paraId="20D6426F">
      <w:pPr>
        <w:pStyle w:val="283"/>
        <w:spacing w:before="0" w:after="0" w:line="470" w:lineRule="exact"/>
        <w:ind w:left="420" w:firstLine="600"/>
        <w:rPr>
          <w:rFonts w:ascii="Times New Roman" w:hAnsi="Times New Roman"/>
          <w:color w:val="auto"/>
          <w:szCs w:val="21"/>
        </w:rPr>
      </w:pPr>
      <w:r>
        <w:rPr>
          <w:rFonts w:hint="eastAsia" w:ascii="Times New Roman" w:hAnsi="Times New Roman"/>
          <w:color w:val="auto"/>
          <w:szCs w:val="21"/>
        </w:rPr>
        <w:t>传        真：</w:t>
      </w:r>
    </w:p>
    <w:p w14:paraId="56BF4EC0">
      <w:pPr>
        <w:pStyle w:val="283"/>
        <w:spacing w:before="0" w:after="0" w:line="470" w:lineRule="exact"/>
        <w:ind w:left="420" w:firstLine="600"/>
        <w:rPr>
          <w:rFonts w:ascii="Times New Roman" w:hAnsi="Times New Roman"/>
          <w:color w:val="auto"/>
          <w:szCs w:val="21"/>
        </w:rPr>
      </w:pPr>
      <w:r>
        <w:rPr>
          <w:rFonts w:hint="eastAsia" w:ascii="Times New Roman" w:hAnsi="Times New Roman"/>
          <w:color w:val="auto"/>
          <w:szCs w:val="21"/>
        </w:rPr>
        <w:t>供应商开户行：</w:t>
      </w:r>
    </w:p>
    <w:p w14:paraId="043CFEF6">
      <w:pPr>
        <w:pStyle w:val="283"/>
        <w:spacing w:before="0" w:after="0" w:line="470" w:lineRule="exact"/>
        <w:ind w:left="420" w:firstLine="600"/>
        <w:rPr>
          <w:rFonts w:ascii="Times New Roman" w:hAnsi="Times New Roman"/>
          <w:color w:val="auto"/>
          <w:szCs w:val="21"/>
        </w:rPr>
      </w:pPr>
      <w:r>
        <w:rPr>
          <w:rFonts w:hint="eastAsia" w:ascii="Times New Roman" w:hAnsi="Times New Roman"/>
          <w:color w:val="auto"/>
          <w:szCs w:val="21"/>
        </w:rPr>
        <w:t>账        号：</w:t>
      </w:r>
    </w:p>
    <w:p w14:paraId="330DC35D">
      <w:pPr>
        <w:pStyle w:val="283"/>
        <w:spacing w:before="0" w:after="0" w:line="470" w:lineRule="exact"/>
        <w:ind w:left="420" w:firstLine="600"/>
        <w:rPr>
          <w:rFonts w:ascii="Times New Roman" w:hAnsi="Times New Roman"/>
          <w:color w:val="auto"/>
          <w:szCs w:val="21"/>
        </w:rPr>
      </w:pPr>
      <w:r>
        <w:rPr>
          <w:rFonts w:hint="eastAsia" w:ascii="Times New Roman" w:hAnsi="Times New Roman"/>
          <w:color w:val="auto"/>
          <w:szCs w:val="21"/>
        </w:rPr>
        <w:t>日        期：</w:t>
      </w:r>
      <w:r>
        <w:rPr>
          <w:rFonts w:hint="eastAsia" w:ascii="Times New Roman" w:hAnsi="Times New Roman"/>
          <w:color w:val="auto"/>
          <w:szCs w:val="21"/>
          <w:u w:val="single"/>
        </w:rPr>
        <w:t xml:space="preserve">     </w:t>
      </w:r>
      <w:r>
        <w:rPr>
          <w:rFonts w:hint="eastAsia" w:ascii="Times New Roman" w:hAnsi="Times New Roman"/>
          <w:color w:val="auto"/>
          <w:szCs w:val="21"/>
        </w:rPr>
        <w:t>年</w:t>
      </w:r>
      <w:r>
        <w:rPr>
          <w:rFonts w:hint="eastAsia" w:ascii="Times New Roman" w:hAnsi="Times New Roman"/>
          <w:color w:val="auto"/>
          <w:szCs w:val="21"/>
          <w:u w:val="single"/>
        </w:rPr>
        <w:t xml:space="preserve">   </w:t>
      </w:r>
      <w:r>
        <w:rPr>
          <w:rFonts w:hint="eastAsia" w:ascii="Times New Roman" w:hAnsi="Times New Roman"/>
          <w:color w:val="auto"/>
          <w:szCs w:val="21"/>
        </w:rPr>
        <w:t>月</w:t>
      </w:r>
      <w:r>
        <w:rPr>
          <w:rFonts w:hint="eastAsia" w:ascii="Times New Roman" w:hAnsi="Times New Roman"/>
          <w:color w:val="auto"/>
          <w:szCs w:val="21"/>
          <w:u w:val="single"/>
        </w:rPr>
        <w:t xml:space="preserve">   </w:t>
      </w:r>
      <w:r>
        <w:rPr>
          <w:rFonts w:hint="eastAsia" w:ascii="Times New Roman" w:hAnsi="Times New Roman"/>
          <w:color w:val="auto"/>
          <w:szCs w:val="21"/>
        </w:rPr>
        <w:t>日</w:t>
      </w:r>
      <w:bookmarkStart w:id="174" w:name="_Toc194995607"/>
      <w:bookmarkStart w:id="175" w:name="_Toc263405071"/>
      <w:bookmarkStart w:id="176" w:name="_Toc151514943"/>
    </w:p>
    <w:p w14:paraId="320C8FC4">
      <w:pPr>
        <w:pStyle w:val="5"/>
        <w:rPr>
          <w:color w:val="auto"/>
        </w:rPr>
      </w:pPr>
      <w:r>
        <w:rPr>
          <w:color w:val="auto"/>
        </w:rPr>
        <w:br w:type="page" w:clear="all"/>
      </w:r>
      <w:bookmarkEnd w:id="174"/>
      <w:bookmarkEnd w:id="175"/>
      <w:bookmarkEnd w:id="176"/>
      <w:bookmarkStart w:id="177" w:name="_Toc5781"/>
      <w:bookmarkStart w:id="178" w:name="_Toc8074"/>
      <w:bookmarkStart w:id="179" w:name="_Toc29378"/>
      <w:bookmarkStart w:id="180" w:name="_Toc315875331"/>
      <w:bookmarkStart w:id="181" w:name="_Toc315868068"/>
      <w:r>
        <w:rPr>
          <w:rFonts w:hint="eastAsia"/>
          <w:color w:val="auto"/>
        </w:rPr>
        <w:t>附件</w:t>
      </w:r>
      <w:r>
        <w:rPr>
          <w:color w:val="auto"/>
        </w:rPr>
        <w:t>9</w:t>
      </w:r>
      <w:r>
        <w:rPr>
          <w:rFonts w:hint="eastAsia"/>
          <w:color w:val="auto"/>
        </w:rPr>
        <w:t xml:space="preserve"> </w:t>
      </w:r>
      <w:r>
        <w:rPr>
          <w:color w:val="auto"/>
        </w:rPr>
        <w:t>中小企业声明函</w:t>
      </w:r>
      <w:bookmarkEnd w:id="177"/>
      <w:bookmarkEnd w:id="178"/>
      <w:bookmarkEnd w:id="179"/>
    </w:p>
    <w:p w14:paraId="26F428E6">
      <w:pPr>
        <w:spacing w:line="600" w:lineRule="exact"/>
        <w:rPr>
          <w:color w:val="auto"/>
          <w:sz w:val="24"/>
        </w:rPr>
      </w:pPr>
      <w:r>
        <w:rPr>
          <w:rFonts w:hint="eastAsia"/>
          <w:color w:val="auto"/>
          <w:sz w:val="24"/>
          <w:lang w:val="zh-CN"/>
        </w:rPr>
        <w:t>苏州新天平工程咨询有限公司</w:t>
      </w:r>
      <w:r>
        <w:rPr>
          <w:color w:val="auto"/>
          <w:sz w:val="24"/>
        </w:rPr>
        <w:t>：</w:t>
      </w:r>
    </w:p>
    <w:p w14:paraId="7FD1B919">
      <w:pPr>
        <w:spacing w:line="600" w:lineRule="exact"/>
        <w:ind w:firstLine="480"/>
        <w:rPr>
          <w:color w:val="auto"/>
          <w:sz w:val="24"/>
        </w:rPr>
      </w:pPr>
      <w:r>
        <w:rPr>
          <w:color w:val="auto"/>
          <w:sz w:val="24"/>
        </w:rPr>
        <w:t>本公司郑重声明，根据《政府采购促进中小企业发展管理办法》（财库[2020]46号）的规定，本公</w:t>
      </w:r>
      <w:r>
        <w:rPr>
          <w:color w:val="auto"/>
          <w:sz w:val="24"/>
          <w:szCs w:val="22"/>
        </w:rPr>
        <w:t>司参加</w:t>
      </w:r>
      <w:bookmarkStart w:id="182" w:name="OLE_LINK2"/>
      <w:bookmarkStart w:id="183" w:name="OLE_LINK5"/>
      <w:r>
        <w:rPr>
          <w:rFonts w:hint="eastAsia"/>
          <w:color w:val="auto"/>
          <w:sz w:val="24"/>
          <w:szCs w:val="24"/>
          <w:u w:val="single"/>
        </w:rPr>
        <w:t>常熟市财政局</w:t>
      </w:r>
      <w:r>
        <w:rPr>
          <w:color w:val="auto"/>
          <w:sz w:val="24"/>
          <w:szCs w:val="24"/>
        </w:rPr>
        <w:t>的</w:t>
      </w:r>
      <w:r>
        <w:rPr>
          <w:rFonts w:hint="eastAsia"/>
          <w:color w:val="auto"/>
          <w:sz w:val="24"/>
          <w:szCs w:val="24"/>
          <w:u w:val="single"/>
        </w:rPr>
        <w:t>2026年度江苏省预算管理一体化系统常熟地区实施及运维服务</w:t>
      </w:r>
      <w:r>
        <w:rPr>
          <w:color w:val="auto"/>
          <w:sz w:val="24"/>
          <w:szCs w:val="22"/>
        </w:rPr>
        <w:t>采购活动，</w:t>
      </w:r>
      <w:bookmarkEnd w:id="182"/>
      <w:bookmarkEnd w:id="183"/>
      <w:r>
        <w:rPr>
          <w:color w:val="auto"/>
          <w:sz w:val="24"/>
          <w:szCs w:val="22"/>
        </w:rPr>
        <w:t>服务全部由符合政策要求的中小企业承接。相关企业的具体情况如下：</w:t>
      </w:r>
    </w:p>
    <w:p w14:paraId="2BB6E11B">
      <w:pPr>
        <w:spacing w:line="600" w:lineRule="exact"/>
        <w:ind w:firstLine="480"/>
        <w:rPr>
          <w:color w:val="auto"/>
          <w:sz w:val="24"/>
          <w:szCs w:val="22"/>
        </w:rPr>
      </w:pPr>
      <w:r>
        <w:rPr>
          <w:rFonts w:hint="eastAsia"/>
          <w:color w:val="auto"/>
          <w:sz w:val="24"/>
          <w:szCs w:val="22"/>
          <w:u w:val="single"/>
        </w:rPr>
        <w:t>1、2026年度江苏省预算管理一体化系统常熟地区实施及运维服务</w:t>
      </w:r>
      <w:r>
        <w:rPr>
          <w:color w:val="auto"/>
          <w:sz w:val="24"/>
          <w:szCs w:val="22"/>
        </w:rPr>
        <w:t>，属于</w:t>
      </w:r>
      <w:r>
        <w:rPr>
          <w:rFonts w:hint="eastAsia"/>
          <w:color w:val="auto"/>
          <w:sz w:val="24"/>
          <w:szCs w:val="22"/>
          <w:u w:val="single"/>
        </w:rPr>
        <w:t>软件和信息技术服务业</w:t>
      </w:r>
      <w:r>
        <w:rPr>
          <w:color w:val="auto"/>
          <w:sz w:val="24"/>
          <w:szCs w:val="22"/>
        </w:rPr>
        <w:t>；承接企业为</w:t>
      </w:r>
      <w:r>
        <w:rPr>
          <w:color w:val="auto"/>
          <w:sz w:val="24"/>
          <w:szCs w:val="22"/>
          <w:u w:val="single"/>
        </w:rPr>
        <w:t>（企业名称）</w:t>
      </w:r>
      <w:r>
        <w:rPr>
          <w:color w:val="auto"/>
          <w:sz w:val="24"/>
          <w:szCs w:val="22"/>
        </w:rPr>
        <w:t>，从业人员</w:t>
      </w:r>
      <w:r>
        <w:rPr>
          <w:color w:val="auto"/>
          <w:sz w:val="24"/>
          <w:szCs w:val="22"/>
          <w:u w:val="single"/>
        </w:rPr>
        <w:t xml:space="preserve">  </w:t>
      </w:r>
      <w:r>
        <w:rPr>
          <w:rFonts w:hint="eastAsia"/>
          <w:color w:val="auto"/>
          <w:sz w:val="24"/>
          <w:szCs w:val="22"/>
          <w:u w:val="single"/>
        </w:rPr>
        <w:t xml:space="preserve">   </w:t>
      </w:r>
      <w:r>
        <w:rPr>
          <w:color w:val="auto"/>
          <w:sz w:val="24"/>
          <w:szCs w:val="22"/>
          <w:u w:val="single"/>
        </w:rPr>
        <w:t xml:space="preserve">  </w:t>
      </w:r>
      <w:r>
        <w:rPr>
          <w:color w:val="auto"/>
          <w:sz w:val="24"/>
          <w:szCs w:val="22"/>
        </w:rPr>
        <w:t>人，营业收入为</w:t>
      </w:r>
      <w:r>
        <w:rPr>
          <w:color w:val="auto"/>
          <w:sz w:val="24"/>
          <w:szCs w:val="22"/>
          <w:u w:val="single"/>
        </w:rPr>
        <w:t xml:space="preserve">   </w:t>
      </w:r>
      <w:r>
        <w:rPr>
          <w:rFonts w:hint="eastAsia"/>
          <w:color w:val="auto"/>
          <w:sz w:val="24"/>
          <w:szCs w:val="22"/>
          <w:u w:val="single"/>
        </w:rPr>
        <w:t xml:space="preserve">  </w:t>
      </w:r>
      <w:r>
        <w:rPr>
          <w:color w:val="auto"/>
          <w:sz w:val="24"/>
          <w:szCs w:val="22"/>
          <w:u w:val="single"/>
        </w:rPr>
        <w:t xml:space="preserve"> </w:t>
      </w:r>
      <w:r>
        <w:rPr>
          <w:color w:val="auto"/>
          <w:sz w:val="24"/>
          <w:szCs w:val="22"/>
        </w:rPr>
        <w:t>万元，资产总额为</w:t>
      </w:r>
      <w:r>
        <w:rPr>
          <w:color w:val="auto"/>
          <w:sz w:val="24"/>
          <w:szCs w:val="22"/>
          <w:u w:val="single"/>
        </w:rPr>
        <w:t xml:space="preserve">    </w:t>
      </w:r>
      <w:r>
        <w:rPr>
          <w:color w:val="auto"/>
          <w:sz w:val="24"/>
          <w:szCs w:val="22"/>
        </w:rPr>
        <w:t>万元，属于</w:t>
      </w:r>
      <w:r>
        <w:rPr>
          <w:color w:val="auto"/>
          <w:sz w:val="24"/>
          <w:szCs w:val="22"/>
          <w:u w:val="single"/>
        </w:rPr>
        <w:t>（中型企业、小型企业、微型企业）</w:t>
      </w:r>
      <w:r>
        <w:rPr>
          <w:color w:val="auto"/>
          <w:sz w:val="24"/>
          <w:szCs w:val="22"/>
        </w:rPr>
        <w:t>。</w:t>
      </w:r>
    </w:p>
    <w:p w14:paraId="21E68760">
      <w:pPr>
        <w:spacing w:line="600" w:lineRule="exact"/>
        <w:ind w:firstLine="480"/>
        <w:rPr>
          <w:color w:val="auto"/>
          <w:sz w:val="24"/>
          <w:szCs w:val="22"/>
        </w:rPr>
      </w:pPr>
    </w:p>
    <w:p w14:paraId="23E43B0E">
      <w:pPr>
        <w:spacing w:line="600" w:lineRule="exact"/>
        <w:ind w:firstLine="480"/>
        <w:rPr>
          <w:color w:val="auto"/>
          <w:sz w:val="24"/>
          <w:szCs w:val="22"/>
        </w:rPr>
      </w:pPr>
      <w:r>
        <w:rPr>
          <w:color w:val="auto"/>
          <w:sz w:val="24"/>
          <w:szCs w:val="22"/>
        </w:rPr>
        <w:t>以上企业，不属于大企业的分支机构，不存在控股股东为大企业的情形，也不存在与大企业的负责人为同一人的情形。</w:t>
      </w:r>
    </w:p>
    <w:p w14:paraId="05BA3F03">
      <w:pPr>
        <w:spacing w:line="600" w:lineRule="exact"/>
        <w:ind w:firstLine="480"/>
        <w:rPr>
          <w:color w:val="auto"/>
          <w:sz w:val="24"/>
          <w:szCs w:val="22"/>
        </w:rPr>
      </w:pPr>
      <w:r>
        <w:rPr>
          <w:color w:val="auto"/>
          <w:sz w:val="24"/>
        </w:rPr>
        <w:t>本公司</w:t>
      </w:r>
      <w:r>
        <w:rPr>
          <w:color w:val="auto"/>
          <w:sz w:val="24"/>
          <w:szCs w:val="22"/>
        </w:rPr>
        <w:t>对上述声明内容的真实性负责。如有虚假，将依法承担相应责任。</w:t>
      </w:r>
    </w:p>
    <w:p w14:paraId="55100F09">
      <w:pPr>
        <w:spacing w:line="600" w:lineRule="exact"/>
        <w:ind w:firstLine="5760"/>
        <w:rPr>
          <w:color w:val="auto"/>
          <w:sz w:val="24"/>
        </w:rPr>
      </w:pPr>
    </w:p>
    <w:p w14:paraId="641DA7E8">
      <w:pPr>
        <w:spacing w:line="600" w:lineRule="exact"/>
        <w:ind w:firstLine="5760"/>
        <w:rPr>
          <w:color w:val="auto"/>
          <w:sz w:val="24"/>
        </w:rPr>
      </w:pPr>
      <w:r>
        <w:rPr>
          <w:color w:val="auto"/>
          <w:sz w:val="24"/>
        </w:rPr>
        <w:t>企业名称</w:t>
      </w:r>
      <w:r>
        <w:rPr>
          <w:rFonts w:hint="eastAsia"/>
          <w:color w:val="auto"/>
          <w:sz w:val="24"/>
          <w:szCs w:val="24"/>
        </w:rPr>
        <w:t>（加盖CA电子公章）</w:t>
      </w:r>
      <w:r>
        <w:rPr>
          <w:color w:val="auto"/>
          <w:sz w:val="24"/>
        </w:rPr>
        <w:t>：</w:t>
      </w:r>
    </w:p>
    <w:p w14:paraId="60BF4EBD">
      <w:pPr>
        <w:spacing w:line="600" w:lineRule="exact"/>
        <w:ind w:firstLine="5760"/>
        <w:rPr>
          <w:color w:val="auto"/>
          <w:sz w:val="24"/>
        </w:rPr>
      </w:pPr>
      <w:r>
        <w:rPr>
          <w:color w:val="auto"/>
          <w:sz w:val="24"/>
        </w:rPr>
        <w:t>日  期：</w:t>
      </w:r>
    </w:p>
    <w:p w14:paraId="263C923C">
      <w:pPr>
        <w:spacing w:line="600" w:lineRule="exact"/>
        <w:rPr>
          <w:color w:val="auto"/>
          <w:sz w:val="24"/>
          <w:szCs w:val="24"/>
          <w:lang w:val="zh-CN"/>
        </w:rPr>
      </w:pPr>
      <w:r>
        <w:rPr>
          <w:color w:val="auto"/>
          <w:sz w:val="24"/>
          <w:szCs w:val="24"/>
          <w:lang w:val="zh-CN"/>
        </w:rPr>
        <w:t>备注：</w:t>
      </w:r>
    </w:p>
    <w:p w14:paraId="7CC2DF03">
      <w:pPr>
        <w:spacing w:line="440" w:lineRule="exact"/>
        <w:ind w:firstLine="600"/>
        <w:rPr>
          <w:color w:val="auto"/>
          <w:sz w:val="24"/>
          <w:szCs w:val="24"/>
          <w:lang w:val="zh-CN"/>
        </w:rPr>
      </w:pPr>
      <w:r>
        <w:rPr>
          <w:color w:val="auto"/>
          <w:sz w:val="24"/>
          <w:szCs w:val="24"/>
          <w:lang w:val="zh-CN"/>
        </w:rPr>
        <w:t>1、中小企业的认定：</w:t>
      </w:r>
    </w:p>
    <w:p w14:paraId="5AF26069">
      <w:pPr>
        <w:spacing w:line="440" w:lineRule="exact"/>
        <w:ind w:firstLine="843"/>
        <w:rPr>
          <w:b/>
          <w:bCs/>
          <w:color w:val="auto"/>
          <w:sz w:val="24"/>
          <w:szCs w:val="24"/>
          <w:lang w:val="zh-CN"/>
        </w:rPr>
      </w:pPr>
      <w:r>
        <w:rPr>
          <w:b/>
          <w:bCs/>
          <w:color w:val="auto"/>
          <w:sz w:val="24"/>
          <w:szCs w:val="24"/>
        </w:rPr>
        <w:t>1.1</w:t>
      </w:r>
      <w:r>
        <w:rPr>
          <w:rFonts w:hint="eastAsia"/>
          <w:b/>
          <w:bCs/>
          <w:color w:val="auto"/>
          <w:sz w:val="24"/>
          <w:szCs w:val="24"/>
        </w:rPr>
        <w:t>、请</w:t>
      </w:r>
      <w:r>
        <w:rPr>
          <w:b/>
          <w:bCs/>
          <w:color w:val="auto"/>
          <w:sz w:val="24"/>
          <w:szCs w:val="24"/>
        </w:rPr>
        <w:t>供应商在响应文件中提供中小企业声明函</w:t>
      </w:r>
      <w:r>
        <w:rPr>
          <w:b/>
          <w:bCs/>
          <w:color w:val="auto"/>
          <w:sz w:val="24"/>
          <w:szCs w:val="22"/>
        </w:rPr>
        <w:t>。未按</w:t>
      </w:r>
      <w:r>
        <w:rPr>
          <w:b/>
          <w:bCs/>
          <w:color w:val="auto"/>
          <w:sz w:val="24"/>
          <w:szCs w:val="24"/>
        </w:rPr>
        <w:t>磋商</w:t>
      </w:r>
      <w:r>
        <w:rPr>
          <w:b/>
          <w:bCs/>
          <w:color w:val="auto"/>
          <w:sz w:val="24"/>
          <w:szCs w:val="22"/>
        </w:rPr>
        <w:t>文件的规定在</w:t>
      </w:r>
      <w:r>
        <w:rPr>
          <w:b/>
          <w:bCs/>
          <w:color w:val="auto"/>
          <w:sz w:val="24"/>
          <w:szCs w:val="24"/>
        </w:rPr>
        <w:t>响应文件</w:t>
      </w:r>
      <w:r>
        <w:rPr>
          <w:b/>
          <w:bCs/>
          <w:color w:val="auto"/>
          <w:sz w:val="24"/>
          <w:szCs w:val="22"/>
        </w:rPr>
        <w:t>中提供有效的中小企业声明函的，不享受促进中小企业发展的相关政府采购政策</w:t>
      </w:r>
      <w:r>
        <w:rPr>
          <w:b/>
          <w:bCs/>
          <w:color w:val="auto"/>
          <w:sz w:val="24"/>
          <w:szCs w:val="24"/>
          <w:lang w:val="zh-CN"/>
        </w:rPr>
        <w:t>。</w:t>
      </w:r>
    </w:p>
    <w:p w14:paraId="1F6992C2">
      <w:pPr>
        <w:spacing w:line="440" w:lineRule="exact"/>
        <w:ind w:firstLine="843"/>
        <w:rPr>
          <w:b/>
          <w:bCs/>
          <w:color w:val="auto"/>
          <w:sz w:val="24"/>
          <w:szCs w:val="24"/>
        </w:rPr>
      </w:pPr>
      <w:r>
        <w:rPr>
          <w:rFonts w:hint="eastAsia"/>
          <w:b/>
          <w:bCs/>
          <w:color w:val="auto"/>
          <w:sz w:val="24"/>
          <w:szCs w:val="24"/>
        </w:rPr>
        <w:t>1.2、如未对上述声明函内（中型企业、小型企业、微型企业）进行勾选或明确，</w:t>
      </w:r>
      <w:r>
        <w:rPr>
          <w:b/>
          <w:bCs/>
          <w:color w:val="auto"/>
          <w:sz w:val="24"/>
          <w:szCs w:val="24"/>
        </w:rPr>
        <w:t>引起的评审风险由</w:t>
      </w:r>
      <w:r>
        <w:rPr>
          <w:rFonts w:hint="eastAsia"/>
          <w:b/>
          <w:bCs/>
          <w:color w:val="auto"/>
          <w:sz w:val="24"/>
          <w:szCs w:val="24"/>
        </w:rPr>
        <w:t>供应商</w:t>
      </w:r>
      <w:r>
        <w:rPr>
          <w:b/>
          <w:bCs/>
          <w:color w:val="auto"/>
          <w:sz w:val="24"/>
          <w:szCs w:val="24"/>
        </w:rPr>
        <w:t>自行承担。</w:t>
      </w:r>
    </w:p>
    <w:p w14:paraId="302FE48F">
      <w:pPr>
        <w:spacing w:line="440" w:lineRule="exact"/>
        <w:ind w:firstLine="843"/>
        <w:rPr>
          <w:b/>
          <w:bCs/>
          <w:color w:val="auto"/>
          <w:sz w:val="24"/>
          <w:szCs w:val="24"/>
        </w:rPr>
      </w:pPr>
      <w:r>
        <w:rPr>
          <w:rFonts w:hint="eastAsia"/>
          <w:b/>
          <w:bCs/>
          <w:color w:val="auto"/>
          <w:sz w:val="24"/>
          <w:szCs w:val="24"/>
        </w:rPr>
        <w:t>1.3、</w:t>
      </w:r>
      <w:r>
        <w:rPr>
          <w:rFonts w:hint="eastAsia"/>
          <w:b/>
          <w:bCs/>
          <w:color w:val="auto"/>
          <w:sz w:val="24"/>
          <w:szCs w:val="24"/>
          <w:lang w:val="zh-CN"/>
        </w:rPr>
        <w:t>上述“中小企业声明函”格式原则上不得改动，因擅自改动引起的评审风险由</w:t>
      </w:r>
      <w:r>
        <w:rPr>
          <w:rFonts w:hint="eastAsia"/>
          <w:b/>
          <w:bCs/>
          <w:color w:val="auto"/>
          <w:sz w:val="24"/>
          <w:szCs w:val="24"/>
        </w:rPr>
        <w:t>供应商</w:t>
      </w:r>
      <w:r>
        <w:rPr>
          <w:rFonts w:hint="eastAsia"/>
          <w:b/>
          <w:bCs/>
          <w:color w:val="auto"/>
          <w:sz w:val="24"/>
          <w:szCs w:val="24"/>
          <w:lang w:val="zh-CN"/>
        </w:rPr>
        <w:t>自行承担。</w:t>
      </w:r>
    </w:p>
    <w:p w14:paraId="386011C0">
      <w:pPr>
        <w:spacing w:line="440" w:lineRule="exact"/>
        <w:ind w:firstLine="600"/>
        <w:rPr>
          <w:color w:val="auto"/>
          <w:sz w:val="24"/>
          <w:szCs w:val="24"/>
        </w:rPr>
      </w:pPr>
      <w:r>
        <w:rPr>
          <w:rFonts w:hint="eastAsia"/>
          <w:color w:val="auto"/>
          <w:sz w:val="24"/>
          <w:szCs w:val="24"/>
        </w:rPr>
        <w:t>2、</w:t>
      </w:r>
      <w:r>
        <w:rPr>
          <w:color w:val="auto"/>
          <w:sz w:val="24"/>
          <w:szCs w:val="24"/>
        </w:rPr>
        <w:t>从业人员、营业收入、资产总额填报上一年度数据，无上一年度数据的新成立企业可不填报。</w:t>
      </w:r>
    </w:p>
    <w:p w14:paraId="5895B762">
      <w:pPr>
        <w:spacing w:line="440" w:lineRule="exact"/>
        <w:ind w:firstLine="602"/>
        <w:rPr>
          <w:b/>
          <w:bCs/>
          <w:color w:val="auto"/>
          <w:sz w:val="24"/>
          <w:szCs w:val="24"/>
          <w:lang w:val="zh-CN"/>
        </w:rPr>
      </w:pPr>
      <w:r>
        <w:rPr>
          <w:rFonts w:hint="eastAsia"/>
          <w:b/>
          <w:bCs/>
          <w:color w:val="auto"/>
          <w:sz w:val="24"/>
          <w:szCs w:val="24"/>
        </w:rPr>
        <w:t>3、本项目所属行业为：</w:t>
      </w:r>
      <w:r>
        <w:rPr>
          <w:rFonts w:hint="eastAsia"/>
          <w:b/>
          <w:bCs/>
          <w:color w:val="auto"/>
          <w:sz w:val="24"/>
          <w:szCs w:val="24"/>
          <w:lang w:bidi="ar"/>
        </w:rPr>
        <w:t>软件和信息技术服务业</w:t>
      </w:r>
      <w:r>
        <w:rPr>
          <w:rFonts w:hint="eastAsia"/>
          <w:b/>
          <w:bCs/>
          <w:color w:val="auto"/>
          <w:sz w:val="24"/>
          <w:szCs w:val="24"/>
          <w:lang w:val="zh-CN"/>
        </w:rPr>
        <w:t>。</w:t>
      </w:r>
    </w:p>
    <w:p w14:paraId="02A91321">
      <w:pPr>
        <w:pStyle w:val="5"/>
        <w:rPr>
          <w:color w:val="auto"/>
        </w:rPr>
      </w:pPr>
      <w:bookmarkStart w:id="184" w:name="_Toc10785"/>
      <w:bookmarkStart w:id="185" w:name="_Toc29180"/>
      <w:bookmarkStart w:id="186" w:name="_Toc9359"/>
      <w:bookmarkStart w:id="187" w:name="_Toc32452"/>
      <w:r>
        <w:rPr>
          <w:rFonts w:hint="eastAsia"/>
          <w:color w:val="auto"/>
        </w:rPr>
        <w:br w:type="page" w:clear="all"/>
      </w:r>
      <w:bookmarkStart w:id="188" w:name="_Toc26493"/>
      <w:bookmarkStart w:id="189" w:name="_Toc26135"/>
      <w:bookmarkStart w:id="190" w:name="_Toc24297"/>
      <w:r>
        <w:rPr>
          <w:rFonts w:hint="eastAsia"/>
          <w:color w:val="auto"/>
        </w:rPr>
        <w:t>附件</w:t>
      </w:r>
      <w:r>
        <w:rPr>
          <w:color w:val="auto"/>
        </w:rPr>
        <w:t>10</w:t>
      </w:r>
      <w:r>
        <w:rPr>
          <w:rFonts w:hint="eastAsia"/>
          <w:color w:val="auto"/>
        </w:rPr>
        <w:t xml:space="preserve"> </w:t>
      </w:r>
      <w:r>
        <w:rPr>
          <w:color w:val="auto"/>
        </w:rPr>
        <w:t>残疾人福利性单位声明函</w:t>
      </w:r>
      <w:bookmarkEnd w:id="184"/>
      <w:bookmarkEnd w:id="185"/>
      <w:bookmarkEnd w:id="186"/>
      <w:bookmarkEnd w:id="187"/>
      <w:bookmarkEnd w:id="188"/>
      <w:bookmarkEnd w:id="189"/>
      <w:bookmarkEnd w:id="190"/>
    </w:p>
    <w:p w14:paraId="2B4F9B60">
      <w:pPr>
        <w:pStyle w:val="264"/>
        <w:spacing w:line="500" w:lineRule="exact"/>
        <w:rPr>
          <w:rFonts w:ascii="Times New Roman" w:hAnsi="Times New Roman" w:eastAsia="宋体"/>
          <w:color w:val="auto"/>
          <w:sz w:val="24"/>
          <w:szCs w:val="21"/>
          <w:lang w:val="zh-CN"/>
        </w:rPr>
      </w:pPr>
      <w:r>
        <w:rPr>
          <w:rFonts w:hint="eastAsia" w:ascii="Times New Roman" w:hAnsi="Times New Roman" w:eastAsia="宋体"/>
          <w:color w:val="auto"/>
          <w:sz w:val="24"/>
          <w:szCs w:val="21"/>
          <w:lang w:val="zh-CN"/>
        </w:rPr>
        <w:t>苏州新天平工程咨询有限公司</w:t>
      </w:r>
      <w:r>
        <w:rPr>
          <w:rFonts w:ascii="Times New Roman" w:hAnsi="Times New Roman" w:eastAsia="宋体"/>
          <w:color w:val="auto"/>
          <w:sz w:val="24"/>
          <w:szCs w:val="21"/>
          <w:lang w:val="zh-CN"/>
        </w:rPr>
        <w:t>：</w:t>
      </w:r>
    </w:p>
    <w:p w14:paraId="2808892C">
      <w:pPr>
        <w:pStyle w:val="264"/>
        <w:spacing w:line="500" w:lineRule="exact"/>
        <w:ind w:firstLine="480"/>
        <w:rPr>
          <w:rFonts w:ascii="Times New Roman" w:hAnsi="Times New Roman" w:eastAsia="宋体"/>
          <w:color w:val="auto"/>
          <w:sz w:val="24"/>
          <w:szCs w:val="21"/>
          <w:lang w:val="zh-CN"/>
        </w:rPr>
      </w:pPr>
      <w:r>
        <w:rPr>
          <w:rFonts w:ascii="Times New Roman" w:hAnsi="Times New Roman" w:eastAsia="宋体"/>
          <w:color w:val="auto"/>
          <w:sz w:val="24"/>
          <w:szCs w:val="21"/>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A83188D">
      <w:pPr>
        <w:pStyle w:val="264"/>
        <w:spacing w:line="500" w:lineRule="exact"/>
        <w:ind w:firstLine="480"/>
        <w:rPr>
          <w:rFonts w:ascii="Times New Roman" w:hAnsi="Times New Roman" w:eastAsia="宋体"/>
          <w:color w:val="auto"/>
          <w:sz w:val="24"/>
          <w:szCs w:val="21"/>
          <w:lang w:val="zh-CN"/>
        </w:rPr>
      </w:pPr>
      <w:r>
        <w:rPr>
          <w:rFonts w:ascii="Times New Roman" w:hAnsi="Times New Roman" w:eastAsia="宋体"/>
          <w:color w:val="auto"/>
          <w:sz w:val="24"/>
          <w:szCs w:val="21"/>
          <w:lang w:val="zh-CN"/>
        </w:rPr>
        <w:t>本单位对上述声明的真实性负责。如有虚假，将依法承担相应责任。</w:t>
      </w:r>
    </w:p>
    <w:p w14:paraId="4251C292">
      <w:pPr>
        <w:ind w:firstLine="630"/>
        <w:rPr>
          <w:color w:val="auto"/>
          <w:spacing w:val="6"/>
          <w:sz w:val="24"/>
          <w:szCs w:val="24"/>
        </w:rPr>
      </w:pPr>
    </w:p>
    <w:p w14:paraId="55A243B6">
      <w:pPr>
        <w:tabs>
          <w:tab w:val="left" w:pos="4860"/>
        </w:tabs>
        <w:spacing w:line="588" w:lineRule="exact"/>
        <w:ind w:right="87" w:firstLine="5280"/>
        <w:rPr>
          <w:color w:val="auto"/>
          <w:spacing w:val="6"/>
          <w:sz w:val="24"/>
          <w:szCs w:val="24"/>
        </w:rPr>
      </w:pPr>
      <w:r>
        <w:rPr>
          <w:color w:val="auto"/>
          <w:sz w:val="24"/>
        </w:rPr>
        <w:t>企业名称</w:t>
      </w:r>
      <w:r>
        <w:rPr>
          <w:rFonts w:hint="eastAsia"/>
          <w:color w:val="auto"/>
          <w:sz w:val="24"/>
          <w:szCs w:val="24"/>
        </w:rPr>
        <w:t>（加盖CA电子公章）</w:t>
      </w:r>
      <w:r>
        <w:rPr>
          <w:color w:val="auto"/>
          <w:spacing w:val="6"/>
          <w:sz w:val="24"/>
          <w:szCs w:val="24"/>
        </w:rPr>
        <w:t>：</w:t>
      </w:r>
    </w:p>
    <w:p w14:paraId="4D0C93CE">
      <w:pPr>
        <w:pStyle w:val="2"/>
        <w:spacing w:line="440" w:lineRule="exact"/>
        <w:ind w:left="750" w:firstLine="4536"/>
        <w:rPr>
          <w:rFonts w:ascii="Times New Roman"/>
          <w:color w:val="auto"/>
          <w:spacing w:val="6"/>
          <w:sz w:val="24"/>
          <w:szCs w:val="24"/>
        </w:rPr>
      </w:pPr>
      <w:r>
        <w:rPr>
          <w:rFonts w:ascii="Times New Roman"/>
          <w:color w:val="auto"/>
          <w:spacing w:val="6"/>
          <w:sz w:val="24"/>
          <w:szCs w:val="24"/>
        </w:rPr>
        <w:t>日  期：</w:t>
      </w:r>
    </w:p>
    <w:p w14:paraId="768F14E2">
      <w:pPr>
        <w:pStyle w:val="2"/>
        <w:spacing w:line="440" w:lineRule="exact"/>
        <w:ind w:left="756" w:hanging="756"/>
        <w:rPr>
          <w:rFonts w:ascii="Times New Roman"/>
          <w:color w:val="auto"/>
          <w:spacing w:val="6"/>
          <w:sz w:val="24"/>
          <w:szCs w:val="24"/>
        </w:rPr>
      </w:pPr>
    </w:p>
    <w:p w14:paraId="6A211424">
      <w:pPr>
        <w:pStyle w:val="2"/>
        <w:spacing w:line="440" w:lineRule="exact"/>
        <w:ind w:firstLine="550"/>
        <w:rPr>
          <w:rFonts w:ascii="Times New Roman"/>
          <w:color w:val="auto"/>
          <w:sz w:val="24"/>
          <w:szCs w:val="21"/>
          <w:lang w:val="zh-CN"/>
        </w:rPr>
      </w:pPr>
      <w:r>
        <w:rPr>
          <w:rFonts w:ascii="Times New Roman"/>
          <w:color w:val="auto"/>
          <w:sz w:val="24"/>
          <w:szCs w:val="21"/>
          <w:lang w:val="zh-CN"/>
        </w:rPr>
        <w:t>请供应商认真阅读如下内容：</w:t>
      </w:r>
    </w:p>
    <w:p w14:paraId="120E949A">
      <w:pPr>
        <w:spacing w:line="440" w:lineRule="exact"/>
        <w:ind w:firstLine="550"/>
        <w:rPr>
          <w:color w:val="auto"/>
          <w:sz w:val="24"/>
          <w:szCs w:val="21"/>
          <w:lang w:val="zh-CN"/>
        </w:rPr>
      </w:pPr>
      <w:r>
        <w:rPr>
          <w:color w:val="auto"/>
          <w:sz w:val="24"/>
          <w:szCs w:val="21"/>
          <w:lang w:val="zh-CN"/>
        </w:rPr>
        <w:t>注：根据《财政部、民政部、中国残疾人联合会关于促进残疾人就业政府采购政策的通知》（财库〔2017〕141号）的规定的划分标准，享受政府采购支持政策的残疾人福利性单位应当同时满足以下条件：</w:t>
      </w:r>
    </w:p>
    <w:p w14:paraId="5467A485">
      <w:pPr>
        <w:spacing w:line="440" w:lineRule="exact"/>
        <w:ind w:firstLine="550"/>
        <w:rPr>
          <w:color w:val="auto"/>
          <w:sz w:val="24"/>
          <w:szCs w:val="21"/>
          <w:lang w:val="zh-CN"/>
        </w:rPr>
      </w:pPr>
      <w:r>
        <w:rPr>
          <w:color w:val="auto"/>
          <w:sz w:val="24"/>
          <w:szCs w:val="21"/>
          <w:lang w:val="zh-CN"/>
        </w:rPr>
        <w:t>1</w:t>
      </w:r>
      <w:r>
        <w:rPr>
          <w:rFonts w:hint="eastAsia"/>
          <w:color w:val="auto"/>
          <w:sz w:val="24"/>
          <w:szCs w:val="21"/>
          <w:lang w:val="zh-CN"/>
        </w:rPr>
        <w:t>、</w:t>
      </w:r>
      <w:r>
        <w:rPr>
          <w:color w:val="auto"/>
          <w:sz w:val="24"/>
          <w:szCs w:val="21"/>
          <w:lang w:val="zh-CN"/>
        </w:rPr>
        <w:t>安置的残疾人占本单位在职职工人数的比例不低于25%（含25%），并且安置的残疾人人数不少于10人（含10人）；</w:t>
      </w:r>
    </w:p>
    <w:p w14:paraId="271F7495">
      <w:pPr>
        <w:spacing w:line="440" w:lineRule="exact"/>
        <w:ind w:firstLine="550"/>
        <w:rPr>
          <w:color w:val="auto"/>
          <w:sz w:val="24"/>
          <w:szCs w:val="21"/>
          <w:lang w:val="zh-CN"/>
        </w:rPr>
      </w:pPr>
      <w:r>
        <w:rPr>
          <w:color w:val="auto"/>
          <w:sz w:val="24"/>
          <w:szCs w:val="21"/>
          <w:lang w:val="zh-CN"/>
        </w:rPr>
        <w:t>2</w:t>
      </w:r>
      <w:r>
        <w:rPr>
          <w:rFonts w:hint="eastAsia"/>
          <w:color w:val="auto"/>
          <w:sz w:val="24"/>
          <w:szCs w:val="21"/>
          <w:lang w:val="zh-CN"/>
        </w:rPr>
        <w:t>、</w:t>
      </w:r>
      <w:r>
        <w:rPr>
          <w:color w:val="auto"/>
          <w:sz w:val="24"/>
          <w:szCs w:val="21"/>
          <w:lang w:val="zh-CN"/>
        </w:rPr>
        <w:t>依法与安置的每位残疾人签订了一年以上（含一年）的劳动合同或服务协议；</w:t>
      </w:r>
    </w:p>
    <w:p w14:paraId="7CC8520A">
      <w:pPr>
        <w:spacing w:line="440" w:lineRule="exact"/>
        <w:ind w:firstLine="550"/>
        <w:rPr>
          <w:color w:val="auto"/>
          <w:sz w:val="24"/>
          <w:szCs w:val="21"/>
          <w:lang w:val="zh-CN"/>
        </w:rPr>
      </w:pPr>
      <w:r>
        <w:rPr>
          <w:color w:val="auto"/>
          <w:sz w:val="24"/>
          <w:szCs w:val="21"/>
          <w:lang w:val="zh-CN"/>
        </w:rPr>
        <w:t>3</w:t>
      </w:r>
      <w:r>
        <w:rPr>
          <w:rFonts w:hint="eastAsia"/>
          <w:color w:val="auto"/>
          <w:sz w:val="24"/>
          <w:szCs w:val="21"/>
          <w:lang w:val="zh-CN"/>
        </w:rPr>
        <w:t>、</w:t>
      </w:r>
      <w:r>
        <w:rPr>
          <w:color w:val="auto"/>
          <w:sz w:val="24"/>
          <w:szCs w:val="21"/>
          <w:lang w:val="zh-CN"/>
        </w:rPr>
        <w:t>为安置的每位残疾人按月足额缴纳了基本养老保险、基本医疗保险、失业保险、工伤保险和生育保险等社会保险费；</w:t>
      </w:r>
    </w:p>
    <w:p w14:paraId="2C0048A3">
      <w:pPr>
        <w:spacing w:line="440" w:lineRule="exact"/>
        <w:ind w:firstLine="550"/>
        <w:rPr>
          <w:color w:val="auto"/>
          <w:sz w:val="24"/>
          <w:szCs w:val="21"/>
          <w:lang w:val="zh-CN"/>
        </w:rPr>
      </w:pPr>
      <w:r>
        <w:rPr>
          <w:color w:val="auto"/>
          <w:sz w:val="24"/>
          <w:szCs w:val="21"/>
          <w:lang w:val="zh-CN"/>
        </w:rPr>
        <w:t>4</w:t>
      </w:r>
      <w:r>
        <w:rPr>
          <w:rFonts w:hint="eastAsia"/>
          <w:color w:val="auto"/>
          <w:sz w:val="24"/>
          <w:szCs w:val="21"/>
          <w:lang w:val="zh-CN"/>
        </w:rPr>
        <w:t>、</w:t>
      </w:r>
      <w:r>
        <w:rPr>
          <w:color w:val="auto"/>
          <w:sz w:val="24"/>
          <w:szCs w:val="21"/>
          <w:lang w:val="zh-CN"/>
        </w:rPr>
        <w:t>通过银行等金融机构向安置的每位残疾人，按月支付了不低于单位所在区县适用的经省级人民政府批准的月最低工资标准的工资；</w:t>
      </w:r>
    </w:p>
    <w:p w14:paraId="21EF6A8F">
      <w:pPr>
        <w:spacing w:line="440" w:lineRule="exact"/>
        <w:ind w:firstLine="550"/>
        <w:rPr>
          <w:color w:val="auto"/>
          <w:sz w:val="24"/>
          <w:szCs w:val="21"/>
          <w:lang w:val="zh-CN"/>
        </w:rPr>
      </w:pPr>
      <w:r>
        <w:rPr>
          <w:color w:val="auto"/>
          <w:sz w:val="24"/>
          <w:szCs w:val="21"/>
          <w:lang w:val="zh-CN"/>
        </w:rPr>
        <w:t>5</w:t>
      </w:r>
      <w:r>
        <w:rPr>
          <w:rFonts w:hint="eastAsia"/>
          <w:color w:val="auto"/>
          <w:sz w:val="24"/>
          <w:szCs w:val="21"/>
          <w:lang w:val="zh-CN"/>
        </w:rPr>
        <w:t>、</w:t>
      </w:r>
      <w:r>
        <w:rPr>
          <w:color w:val="auto"/>
          <w:sz w:val="24"/>
          <w:szCs w:val="21"/>
          <w:lang w:val="zh-CN"/>
        </w:rPr>
        <w:t>提供本单位制造的货物、承担的工程或者服务（以下简称产品），或者提供其他残疾人福利性单位制造的货物（不包括使用非残疾人福利性单位注册商标的货物）。</w:t>
      </w:r>
    </w:p>
    <w:p w14:paraId="78D7C584">
      <w:pPr>
        <w:spacing w:line="440" w:lineRule="exact"/>
        <w:ind w:firstLine="550"/>
        <w:rPr>
          <w:color w:val="auto"/>
          <w:sz w:val="24"/>
          <w:szCs w:val="21"/>
          <w:lang w:val="zh-CN"/>
        </w:rPr>
      </w:pPr>
      <w:r>
        <w:rPr>
          <w:color w:val="auto"/>
          <w:sz w:val="24"/>
          <w:szCs w:val="21"/>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8C1436E">
      <w:pPr>
        <w:rPr>
          <w:color w:val="auto"/>
          <w:sz w:val="24"/>
          <w:szCs w:val="21"/>
          <w:lang w:val="zh-CN"/>
        </w:rPr>
      </w:pPr>
      <w:r>
        <w:rPr>
          <w:color w:val="auto"/>
          <w:sz w:val="24"/>
          <w:szCs w:val="21"/>
          <w:lang w:val="zh-CN"/>
        </w:rPr>
        <w:br w:type="page" w:clear="all"/>
      </w:r>
    </w:p>
    <w:p w14:paraId="5C9E048E">
      <w:pPr>
        <w:pStyle w:val="5"/>
        <w:rPr>
          <w:color w:val="auto"/>
        </w:rPr>
      </w:pPr>
      <w:bookmarkStart w:id="191" w:name="_Toc32592"/>
      <w:bookmarkStart w:id="192" w:name="_Toc30469"/>
      <w:bookmarkStart w:id="193" w:name="_Toc29473"/>
      <w:bookmarkStart w:id="194" w:name="_Toc16649"/>
      <w:bookmarkStart w:id="195" w:name="_Toc10874"/>
      <w:bookmarkStart w:id="196" w:name="_Toc14096"/>
      <w:bookmarkStart w:id="197" w:name="_Toc2627"/>
      <w:bookmarkStart w:id="198" w:name="_Toc31106"/>
      <w:bookmarkStart w:id="199" w:name="_Toc523"/>
      <w:bookmarkStart w:id="200" w:name="_Toc5866"/>
      <w:bookmarkStart w:id="201" w:name="_Toc4599"/>
      <w:r>
        <w:rPr>
          <w:rFonts w:hint="eastAsia"/>
          <w:color w:val="auto"/>
        </w:rPr>
        <w:t>附件1</w:t>
      </w:r>
      <w:r>
        <w:rPr>
          <w:color w:val="auto"/>
        </w:rPr>
        <w:t>1</w:t>
      </w:r>
      <w:r>
        <w:rPr>
          <w:rFonts w:hint="eastAsia"/>
          <w:color w:val="auto"/>
        </w:rPr>
        <w:t xml:space="preserve"> 实质性要求响应及偏离表</w:t>
      </w:r>
      <w:bookmarkEnd w:id="191"/>
      <w:bookmarkEnd w:id="192"/>
      <w:bookmarkEnd w:id="193"/>
      <w:bookmarkEnd w:id="194"/>
      <w:bookmarkEnd w:id="195"/>
      <w:bookmarkEnd w:id="196"/>
      <w:bookmarkEnd w:id="197"/>
    </w:p>
    <w:tbl>
      <w:tblPr>
        <w:tblStyle w:val="57"/>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
        <w:gridCol w:w="5498"/>
        <w:gridCol w:w="1560"/>
        <w:gridCol w:w="1661"/>
      </w:tblGrid>
      <w:tr w14:paraId="2103B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907" w:type="dxa"/>
            <w:vAlign w:val="center"/>
          </w:tcPr>
          <w:p w14:paraId="3521B545">
            <w:pPr>
              <w:keepNext w:val="0"/>
              <w:keepLines w:val="0"/>
              <w:pageBreakBefore w:val="0"/>
              <w:kinsoku/>
              <w:wordWrap/>
              <w:overflowPunct/>
              <w:topLinePunct w:val="0"/>
              <w:autoSpaceDE/>
              <w:autoSpaceDN/>
              <w:bidi w:val="0"/>
              <w:adjustRightInd/>
              <w:snapToGrid/>
              <w:jc w:val="center"/>
              <w:textAlignment w:val="auto"/>
              <w:rPr>
                <w:b/>
                <w:color w:val="auto"/>
                <w:sz w:val="24"/>
              </w:rPr>
            </w:pPr>
            <w:r>
              <w:rPr>
                <w:rFonts w:hint="eastAsia"/>
                <w:b/>
                <w:color w:val="auto"/>
                <w:sz w:val="24"/>
              </w:rPr>
              <w:t>序号</w:t>
            </w:r>
          </w:p>
        </w:tc>
        <w:tc>
          <w:tcPr>
            <w:tcW w:w="5498" w:type="dxa"/>
            <w:vAlign w:val="center"/>
          </w:tcPr>
          <w:p w14:paraId="6933F14E">
            <w:pPr>
              <w:keepNext w:val="0"/>
              <w:keepLines w:val="0"/>
              <w:pageBreakBefore w:val="0"/>
              <w:kinsoku/>
              <w:wordWrap/>
              <w:overflowPunct/>
              <w:topLinePunct w:val="0"/>
              <w:autoSpaceDE/>
              <w:autoSpaceDN/>
              <w:bidi w:val="0"/>
              <w:adjustRightInd/>
              <w:snapToGrid/>
              <w:jc w:val="center"/>
              <w:textAlignment w:val="auto"/>
              <w:rPr>
                <w:b/>
                <w:color w:val="auto"/>
                <w:sz w:val="24"/>
              </w:rPr>
            </w:pPr>
            <w:r>
              <w:rPr>
                <w:rFonts w:hint="eastAsia"/>
                <w:b/>
                <w:color w:val="auto"/>
                <w:sz w:val="24"/>
              </w:rPr>
              <w:t>服务</w:t>
            </w:r>
            <w:r>
              <w:rPr>
                <w:b/>
                <w:color w:val="auto"/>
                <w:sz w:val="24"/>
              </w:rPr>
              <w:t>要求和商务要求中的实质性要求</w:t>
            </w:r>
          </w:p>
        </w:tc>
        <w:tc>
          <w:tcPr>
            <w:tcW w:w="1560" w:type="dxa"/>
            <w:vAlign w:val="center"/>
          </w:tcPr>
          <w:p w14:paraId="08BD23FE">
            <w:pPr>
              <w:keepNext w:val="0"/>
              <w:keepLines w:val="0"/>
              <w:pageBreakBefore w:val="0"/>
              <w:kinsoku/>
              <w:wordWrap/>
              <w:overflowPunct/>
              <w:topLinePunct w:val="0"/>
              <w:autoSpaceDE/>
              <w:autoSpaceDN/>
              <w:bidi w:val="0"/>
              <w:adjustRightInd/>
              <w:snapToGrid/>
              <w:jc w:val="center"/>
              <w:textAlignment w:val="auto"/>
              <w:rPr>
                <w:b/>
                <w:color w:val="auto"/>
                <w:sz w:val="24"/>
              </w:rPr>
            </w:pPr>
            <w:r>
              <w:rPr>
                <w:rFonts w:hint="eastAsia"/>
                <w:b/>
                <w:color w:val="auto"/>
                <w:sz w:val="24"/>
              </w:rPr>
              <w:t>投标响应情况</w:t>
            </w:r>
          </w:p>
        </w:tc>
        <w:tc>
          <w:tcPr>
            <w:tcW w:w="1661" w:type="dxa"/>
            <w:vAlign w:val="center"/>
          </w:tcPr>
          <w:p w14:paraId="5B1A74E7">
            <w:pPr>
              <w:keepNext w:val="0"/>
              <w:keepLines w:val="0"/>
              <w:pageBreakBefore w:val="0"/>
              <w:kinsoku/>
              <w:wordWrap/>
              <w:overflowPunct/>
              <w:topLinePunct w:val="0"/>
              <w:autoSpaceDE/>
              <w:autoSpaceDN/>
              <w:bidi w:val="0"/>
              <w:adjustRightInd/>
              <w:snapToGrid/>
              <w:jc w:val="center"/>
              <w:textAlignment w:val="auto"/>
              <w:rPr>
                <w:b/>
                <w:color w:val="auto"/>
                <w:sz w:val="24"/>
              </w:rPr>
            </w:pPr>
            <w:r>
              <w:rPr>
                <w:rFonts w:hint="eastAsia"/>
                <w:b/>
                <w:color w:val="auto"/>
                <w:sz w:val="24"/>
              </w:rPr>
              <w:t>超出、符合或偏离</w:t>
            </w:r>
          </w:p>
        </w:tc>
      </w:tr>
      <w:tr w14:paraId="02D14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907" w:type="dxa"/>
            <w:vAlign w:val="center"/>
          </w:tcPr>
          <w:p w14:paraId="260A6A27">
            <w:pPr>
              <w:keepNext w:val="0"/>
              <w:keepLines w:val="0"/>
              <w:pageBreakBefore w:val="0"/>
              <w:kinsoku/>
              <w:wordWrap/>
              <w:overflowPunct/>
              <w:topLinePunct w:val="0"/>
              <w:autoSpaceDE/>
              <w:autoSpaceDN/>
              <w:bidi w:val="0"/>
              <w:adjustRightInd/>
              <w:snapToGrid/>
              <w:spacing w:line="240" w:lineRule="auto"/>
              <w:jc w:val="center"/>
              <w:textAlignment w:val="auto"/>
              <w:rPr>
                <w:b/>
                <w:color w:val="auto"/>
                <w:sz w:val="24"/>
              </w:rPr>
            </w:pPr>
            <w:r>
              <w:rPr>
                <w:rFonts w:hint="eastAsia"/>
                <w:b/>
                <w:color w:val="auto"/>
                <w:sz w:val="24"/>
              </w:rPr>
              <w:t>1</w:t>
            </w:r>
          </w:p>
        </w:tc>
        <w:tc>
          <w:tcPr>
            <w:tcW w:w="5498" w:type="dxa"/>
            <w:vAlign w:val="center"/>
          </w:tcPr>
          <w:p w14:paraId="3A059D9F">
            <w:pPr>
              <w:keepNext w:val="0"/>
              <w:keepLines w:val="0"/>
              <w:pageBreakBefore w:val="0"/>
              <w:widowControl/>
              <w:kinsoku/>
              <w:wordWrap/>
              <w:overflowPunct/>
              <w:topLinePunct w:val="0"/>
              <w:autoSpaceDE/>
              <w:autoSpaceDN/>
              <w:bidi w:val="0"/>
              <w:adjustRightInd/>
              <w:snapToGrid/>
              <w:spacing w:line="240" w:lineRule="auto"/>
              <w:jc w:val="left"/>
              <w:textAlignment w:val="auto"/>
              <w:rPr>
                <w:b w:val="0"/>
                <w:bCs/>
                <w:i/>
                <w:iCs/>
                <w:color w:val="auto"/>
                <w:sz w:val="24"/>
                <w:u w:val="single"/>
              </w:rPr>
            </w:pPr>
            <w:r>
              <w:rPr>
                <w:rFonts w:hint="eastAsia"/>
                <w:b w:val="0"/>
                <w:bCs/>
                <w:i/>
                <w:iCs/>
                <w:color w:val="auto"/>
                <w:sz w:val="24"/>
                <w:u w:val="single"/>
              </w:rPr>
              <w:t>5、结算方式：</w:t>
            </w:r>
          </w:p>
          <w:p w14:paraId="3E98EBC1">
            <w:pPr>
              <w:keepNext w:val="0"/>
              <w:keepLines w:val="0"/>
              <w:pageBreakBefore w:val="0"/>
              <w:widowControl/>
              <w:kinsoku/>
              <w:wordWrap/>
              <w:overflowPunct/>
              <w:topLinePunct w:val="0"/>
              <w:autoSpaceDE/>
              <w:autoSpaceDN/>
              <w:bidi w:val="0"/>
              <w:adjustRightInd/>
              <w:snapToGrid/>
              <w:spacing w:line="240" w:lineRule="auto"/>
              <w:jc w:val="left"/>
              <w:textAlignment w:val="auto"/>
              <w:rPr>
                <w:b w:val="0"/>
                <w:bCs/>
                <w:i/>
                <w:iCs/>
                <w:color w:val="auto"/>
                <w:sz w:val="24"/>
                <w:u w:val="single"/>
              </w:rPr>
            </w:pPr>
            <w:r>
              <w:rPr>
                <w:rFonts w:hint="eastAsia"/>
                <w:b w:val="0"/>
                <w:bCs/>
                <w:i/>
                <w:iCs/>
                <w:color w:val="auto"/>
                <w:sz w:val="24"/>
                <w:u w:val="single"/>
              </w:rPr>
              <w:t>5.1、合同签订后甲方向乙方预付合同总价的10%；</w:t>
            </w:r>
          </w:p>
          <w:p w14:paraId="09624758">
            <w:pPr>
              <w:keepNext w:val="0"/>
              <w:keepLines w:val="0"/>
              <w:pageBreakBefore w:val="0"/>
              <w:widowControl/>
              <w:kinsoku/>
              <w:wordWrap/>
              <w:overflowPunct/>
              <w:topLinePunct w:val="0"/>
              <w:autoSpaceDE/>
              <w:autoSpaceDN/>
              <w:bidi w:val="0"/>
              <w:adjustRightInd/>
              <w:snapToGrid/>
              <w:spacing w:line="240" w:lineRule="auto"/>
              <w:jc w:val="left"/>
              <w:textAlignment w:val="auto"/>
              <w:rPr>
                <w:b w:val="0"/>
                <w:bCs/>
                <w:i/>
                <w:iCs/>
                <w:color w:val="auto"/>
                <w:sz w:val="24"/>
                <w:u w:val="single"/>
              </w:rPr>
            </w:pPr>
            <w:r>
              <w:rPr>
                <w:rFonts w:hint="eastAsia"/>
                <w:b w:val="0"/>
                <w:bCs/>
                <w:i/>
                <w:iCs/>
                <w:color w:val="auto"/>
                <w:sz w:val="24"/>
                <w:u w:val="single"/>
              </w:rPr>
              <w:t>5.2、2026年6月30日之前甲方向乙方支付合同总价的50%；</w:t>
            </w:r>
          </w:p>
          <w:p w14:paraId="440DF46E">
            <w:pPr>
              <w:keepNext w:val="0"/>
              <w:keepLines w:val="0"/>
              <w:pageBreakBefore w:val="0"/>
              <w:widowControl/>
              <w:kinsoku/>
              <w:wordWrap/>
              <w:overflowPunct/>
              <w:topLinePunct w:val="0"/>
              <w:autoSpaceDE/>
              <w:autoSpaceDN/>
              <w:bidi w:val="0"/>
              <w:adjustRightInd/>
              <w:snapToGrid/>
              <w:spacing w:line="240" w:lineRule="auto"/>
              <w:jc w:val="left"/>
              <w:textAlignment w:val="auto"/>
              <w:rPr>
                <w:b w:val="0"/>
                <w:bCs/>
                <w:i/>
                <w:iCs/>
                <w:color w:val="auto"/>
                <w:sz w:val="24"/>
                <w:u w:val="single"/>
              </w:rPr>
            </w:pPr>
            <w:r>
              <w:rPr>
                <w:b w:val="0"/>
                <w:bCs/>
                <w:i/>
                <w:iCs/>
                <w:color w:val="auto"/>
                <w:sz w:val="24"/>
                <w:u w:val="single"/>
              </w:rPr>
              <w:t>5.3</w:t>
            </w:r>
            <w:r>
              <w:rPr>
                <w:rFonts w:hint="eastAsia"/>
                <w:b w:val="0"/>
                <w:bCs/>
                <w:i/>
                <w:iCs/>
                <w:color w:val="auto"/>
                <w:sz w:val="24"/>
                <w:u w:val="single"/>
              </w:rPr>
              <w:t>、项目验收通过后，系统运行正常，甲方向乙方支付合同总价的40%。</w:t>
            </w:r>
          </w:p>
          <w:p w14:paraId="257E735B">
            <w:pPr>
              <w:keepNext w:val="0"/>
              <w:keepLines w:val="0"/>
              <w:pageBreakBefore w:val="0"/>
              <w:widowControl/>
              <w:kinsoku/>
              <w:wordWrap/>
              <w:overflowPunct/>
              <w:topLinePunct w:val="0"/>
              <w:autoSpaceDE/>
              <w:autoSpaceDN/>
              <w:bidi w:val="0"/>
              <w:adjustRightInd/>
              <w:snapToGrid/>
              <w:spacing w:line="240" w:lineRule="auto"/>
              <w:jc w:val="left"/>
              <w:textAlignment w:val="auto"/>
              <w:rPr>
                <w:b/>
                <w:color w:val="auto"/>
                <w:sz w:val="24"/>
              </w:rPr>
            </w:pPr>
            <w:r>
              <w:rPr>
                <w:rFonts w:hint="eastAsia"/>
                <w:b w:val="0"/>
                <w:bCs/>
                <w:i/>
                <w:iCs/>
                <w:color w:val="auto"/>
                <w:sz w:val="24"/>
                <w:u w:val="single"/>
              </w:rPr>
              <w:t>注：（1）供应商不满足上述付款方式的，将失去磋商资格。（2）以上每次付款前，成交供应商均应提供符合采购人要求的同等金额的合法有效发票。否则，采购人有权顺延付款时间，且不承担任何违约及/或赔偿责任。（3）本项目支付方式包括但不限于：数字人民币、银行汇票、转账支票等。</w:t>
            </w:r>
          </w:p>
        </w:tc>
        <w:tc>
          <w:tcPr>
            <w:tcW w:w="1560" w:type="dxa"/>
            <w:vAlign w:val="center"/>
          </w:tcPr>
          <w:p w14:paraId="12D6CEB7">
            <w:pPr>
              <w:keepNext w:val="0"/>
              <w:keepLines w:val="0"/>
              <w:pageBreakBefore w:val="0"/>
              <w:kinsoku/>
              <w:wordWrap/>
              <w:overflowPunct/>
              <w:topLinePunct w:val="0"/>
              <w:autoSpaceDE/>
              <w:autoSpaceDN/>
              <w:bidi w:val="0"/>
              <w:adjustRightInd/>
              <w:snapToGrid/>
              <w:spacing w:line="240" w:lineRule="auto"/>
              <w:jc w:val="center"/>
              <w:textAlignment w:val="auto"/>
              <w:rPr>
                <w:b/>
                <w:color w:val="auto"/>
                <w:sz w:val="24"/>
              </w:rPr>
            </w:pPr>
          </w:p>
        </w:tc>
        <w:tc>
          <w:tcPr>
            <w:tcW w:w="1661" w:type="dxa"/>
            <w:vAlign w:val="center"/>
          </w:tcPr>
          <w:p w14:paraId="55C50803">
            <w:pPr>
              <w:keepNext w:val="0"/>
              <w:keepLines w:val="0"/>
              <w:pageBreakBefore w:val="0"/>
              <w:kinsoku/>
              <w:wordWrap/>
              <w:overflowPunct/>
              <w:topLinePunct w:val="0"/>
              <w:autoSpaceDE/>
              <w:autoSpaceDN/>
              <w:bidi w:val="0"/>
              <w:adjustRightInd/>
              <w:snapToGrid/>
              <w:spacing w:line="240" w:lineRule="auto"/>
              <w:jc w:val="center"/>
              <w:textAlignment w:val="auto"/>
              <w:rPr>
                <w:b/>
                <w:color w:val="auto"/>
                <w:sz w:val="24"/>
              </w:rPr>
            </w:pPr>
          </w:p>
        </w:tc>
      </w:tr>
      <w:tr w14:paraId="00C4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76" w:hRule="atLeast"/>
        </w:trPr>
        <w:tc>
          <w:tcPr>
            <w:tcW w:w="907" w:type="dxa"/>
            <w:vAlign w:val="center"/>
          </w:tcPr>
          <w:p w14:paraId="32243AE3">
            <w:pPr>
              <w:keepNext w:val="0"/>
              <w:keepLines w:val="0"/>
              <w:pageBreakBefore w:val="0"/>
              <w:kinsoku/>
              <w:wordWrap/>
              <w:overflowPunct/>
              <w:topLinePunct w:val="0"/>
              <w:autoSpaceDE/>
              <w:autoSpaceDN/>
              <w:bidi w:val="0"/>
              <w:adjustRightInd/>
              <w:snapToGrid/>
              <w:spacing w:line="240" w:lineRule="auto"/>
              <w:jc w:val="center"/>
              <w:textAlignment w:val="auto"/>
              <w:rPr>
                <w:b/>
                <w:color w:val="auto"/>
                <w:sz w:val="24"/>
              </w:rPr>
            </w:pPr>
            <w:r>
              <w:rPr>
                <w:rFonts w:hint="eastAsia"/>
                <w:b/>
                <w:color w:val="auto"/>
                <w:sz w:val="24"/>
              </w:rPr>
              <w:t>2</w:t>
            </w:r>
          </w:p>
        </w:tc>
        <w:tc>
          <w:tcPr>
            <w:tcW w:w="5498" w:type="dxa"/>
            <w:vAlign w:val="center"/>
          </w:tcPr>
          <w:p w14:paraId="320DCC94">
            <w:pPr>
              <w:keepNext w:val="0"/>
              <w:keepLines w:val="0"/>
              <w:pageBreakBefore w:val="0"/>
              <w:kinsoku/>
              <w:wordWrap/>
              <w:overflowPunct/>
              <w:topLinePunct w:val="0"/>
              <w:autoSpaceDE/>
              <w:autoSpaceDN/>
              <w:bidi w:val="0"/>
              <w:adjustRightInd/>
              <w:snapToGrid/>
              <w:spacing w:line="240" w:lineRule="auto"/>
              <w:jc w:val="left"/>
              <w:textAlignment w:val="auto"/>
              <w:rPr>
                <w:b w:val="0"/>
                <w:bCs/>
                <w:i/>
                <w:iCs/>
                <w:color w:val="auto"/>
                <w:sz w:val="24"/>
                <w:u w:val="single"/>
              </w:rPr>
            </w:pPr>
            <w:r>
              <w:rPr>
                <w:rFonts w:hint="eastAsia"/>
                <w:b w:val="0"/>
                <w:bCs/>
                <w:i/>
                <w:iCs/>
                <w:color w:val="auto"/>
                <w:sz w:val="24"/>
                <w:u w:val="single"/>
              </w:rPr>
              <w:t>4.4、其他要求</w:t>
            </w:r>
          </w:p>
          <w:p w14:paraId="4A100ECE">
            <w:pPr>
              <w:keepNext w:val="0"/>
              <w:keepLines w:val="0"/>
              <w:pageBreakBefore w:val="0"/>
              <w:kinsoku/>
              <w:wordWrap/>
              <w:overflowPunct/>
              <w:topLinePunct w:val="0"/>
              <w:autoSpaceDE/>
              <w:autoSpaceDN/>
              <w:bidi w:val="0"/>
              <w:adjustRightInd/>
              <w:snapToGrid/>
              <w:spacing w:line="240" w:lineRule="auto"/>
              <w:jc w:val="left"/>
              <w:textAlignment w:val="auto"/>
              <w:rPr>
                <w:b/>
                <w:color w:val="auto"/>
                <w:sz w:val="24"/>
              </w:rPr>
            </w:pPr>
            <w:r>
              <w:rPr>
                <w:rFonts w:hint="eastAsia"/>
                <w:b w:val="0"/>
                <w:bCs/>
                <w:i/>
                <w:iCs/>
                <w:color w:val="auto"/>
                <w:sz w:val="24"/>
                <w:u w:val="single"/>
              </w:rPr>
              <w:t>供应商获得成交后，响应文件中的拟投入人员即实际履约服务的人员，未经采购人允许，不得随意更换。擅自变更的应承担相应责任。如确实因特殊原因需更换项目经理及驻场服务人员的，供应商应提前三个月报采购人确认（采购人要求的除外），供应商须保证服务人员的资历不低于响应文件中拟投入的人员资历。</w:t>
            </w:r>
          </w:p>
        </w:tc>
        <w:tc>
          <w:tcPr>
            <w:tcW w:w="1560" w:type="dxa"/>
            <w:vAlign w:val="center"/>
          </w:tcPr>
          <w:p w14:paraId="76910991">
            <w:pPr>
              <w:keepNext w:val="0"/>
              <w:keepLines w:val="0"/>
              <w:pageBreakBefore w:val="0"/>
              <w:kinsoku/>
              <w:wordWrap/>
              <w:overflowPunct/>
              <w:topLinePunct w:val="0"/>
              <w:autoSpaceDE/>
              <w:autoSpaceDN/>
              <w:bidi w:val="0"/>
              <w:adjustRightInd/>
              <w:snapToGrid/>
              <w:spacing w:line="240" w:lineRule="auto"/>
              <w:jc w:val="center"/>
              <w:textAlignment w:val="auto"/>
              <w:rPr>
                <w:b/>
                <w:color w:val="auto"/>
                <w:sz w:val="24"/>
              </w:rPr>
            </w:pPr>
          </w:p>
        </w:tc>
        <w:tc>
          <w:tcPr>
            <w:tcW w:w="1661" w:type="dxa"/>
            <w:vAlign w:val="center"/>
          </w:tcPr>
          <w:p w14:paraId="3528FED5">
            <w:pPr>
              <w:keepNext w:val="0"/>
              <w:keepLines w:val="0"/>
              <w:pageBreakBefore w:val="0"/>
              <w:kinsoku/>
              <w:wordWrap/>
              <w:overflowPunct/>
              <w:topLinePunct w:val="0"/>
              <w:autoSpaceDE/>
              <w:autoSpaceDN/>
              <w:bidi w:val="0"/>
              <w:adjustRightInd/>
              <w:snapToGrid/>
              <w:spacing w:line="240" w:lineRule="auto"/>
              <w:jc w:val="center"/>
              <w:textAlignment w:val="auto"/>
              <w:rPr>
                <w:b/>
                <w:color w:val="auto"/>
                <w:sz w:val="24"/>
              </w:rPr>
            </w:pPr>
          </w:p>
        </w:tc>
      </w:tr>
      <w:tr w14:paraId="70F8B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907" w:type="dxa"/>
            <w:vAlign w:val="center"/>
          </w:tcPr>
          <w:p w14:paraId="2CF9724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eastAsia="宋体"/>
                <w:b/>
                <w:color w:val="auto"/>
                <w:sz w:val="24"/>
                <w:lang w:val="en-US" w:eastAsia="zh-CN"/>
              </w:rPr>
            </w:pPr>
            <w:r>
              <w:rPr>
                <w:rFonts w:hint="eastAsia"/>
                <w:b/>
                <w:color w:val="auto"/>
                <w:sz w:val="24"/>
                <w:lang w:val="en-US" w:eastAsia="zh-CN"/>
              </w:rPr>
              <w:t>3</w:t>
            </w:r>
          </w:p>
        </w:tc>
        <w:tc>
          <w:tcPr>
            <w:tcW w:w="5498" w:type="dxa"/>
            <w:vAlign w:val="center"/>
          </w:tcPr>
          <w:p w14:paraId="30595F5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b w:val="0"/>
                <w:bCs/>
                <w:i/>
                <w:iCs/>
                <w:color w:val="auto"/>
                <w:sz w:val="24"/>
                <w:u w:val="single"/>
              </w:rPr>
            </w:pPr>
            <w:r>
              <w:rPr>
                <w:rFonts w:hint="eastAsia"/>
                <w:b w:val="0"/>
                <w:bCs/>
                <w:i/>
                <w:iCs/>
                <w:color w:val="auto"/>
                <w:sz w:val="24"/>
                <w:u w:val="single"/>
              </w:rPr>
              <w:t>第五条  付款方式</w:t>
            </w:r>
          </w:p>
          <w:p w14:paraId="54CDE15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b w:val="0"/>
                <w:bCs/>
                <w:i/>
                <w:iCs/>
                <w:color w:val="auto"/>
                <w:sz w:val="24"/>
                <w:u w:val="single"/>
              </w:rPr>
            </w:pPr>
            <w:r>
              <w:rPr>
                <w:rFonts w:hint="eastAsia"/>
                <w:b w:val="0"/>
                <w:bCs/>
                <w:i/>
                <w:iCs/>
                <w:color w:val="auto"/>
                <w:sz w:val="24"/>
                <w:u w:val="single"/>
              </w:rPr>
              <w:t>1、本项目合同款支付货币：（√）数字人民币，（√）传统实物人民币。</w:t>
            </w:r>
          </w:p>
          <w:p w14:paraId="4AE8B38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b w:val="0"/>
                <w:bCs/>
                <w:i/>
                <w:iCs/>
                <w:color w:val="auto"/>
                <w:sz w:val="24"/>
                <w:u w:val="single"/>
              </w:rPr>
            </w:pPr>
            <w:r>
              <w:rPr>
                <w:rFonts w:hint="eastAsia"/>
                <w:b w:val="0"/>
                <w:bCs/>
                <w:i/>
                <w:iCs/>
                <w:color w:val="auto"/>
                <w:sz w:val="24"/>
                <w:u w:val="single"/>
              </w:rPr>
              <w:t>2、合同签订后甲方向乙方预付合同总价的10%；</w:t>
            </w:r>
          </w:p>
          <w:p w14:paraId="19B1D5C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b w:val="0"/>
                <w:bCs/>
                <w:i/>
                <w:iCs/>
                <w:color w:val="auto"/>
                <w:sz w:val="24"/>
                <w:u w:val="single"/>
              </w:rPr>
            </w:pPr>
            <w:r>
              <w:rPr>
                <w:rFonts w:hint="eastAsia"/>
                <w:b w:val="0"/>
                <w:bCs/>
                <w:i/>
                <w:iCs/>
                <w:color w:val="auto"/>
                <w:sz w:val="24"/>
                <w:u w:val="single"/>
              </w:rPr>
              <w:t>3、2026年6月30日之前甲方向乙方支付合同总价的50%；</w:t>
            </w:r>
          </w:p>
          <w:p w14:paraId="15CFF0D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b w:val="0"/>
                <w:bCs/>
                <w:i/>
                <w:iCs/>
                <w:color w:val="auto"/>
                <w:sz w:val="24"/>
                <w:u w:val="single"/>
              </w:rPr>
            </w:pPr>
            <w:r>
              <w:rPr>
                <w:rFonts w:hint="eastAsia"/>
                <w:b w:val="0"/>
                <w:bCs/>
                <w:i/>
                <w:iCs/>
                <w:color w:val="auto"/>
                <w:sz w:val="24"/>
                <w:u w:val="single"/>
              </w:rPr>
              <w:t>4、项目验收通过后，系统运行正常，甲方向乙方支付合同总价的40%。</w:t>
            </w:r>
          </w:p>
          <w:p w14:paraId="314D6B6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b w:val="0"/>
                <w:bCs/>
                <w:i/>
                <w:iCs/>
                <w:color w:val="auto"/>
                <w:sz w:val="24"/>
                <w:u w:val="single"/>
              </w:rPr>
            </w:pPr>
            <w:r>
              <w:rPr>
                <w:rFonts w:hint="eastAsia"/>
                <w:b w:val="0"/>
                <w:bCs/>
                <w:i/>
                <w:iCs/>
                <w:color w:val="auto"/>
                <w:sz w:val="24"/>
                <w:u w:val="single"/>
              </w:rPr>
              <w:t>注：（1）以上每次付款前，乙方均应提供符合甲方要求的同等金额的合法有效发票。否则，甲方有权顺延付款时间，且不承担任何违约及/或赔偿责任。（2）支付方式包括但不限于：数字人民币、现金、银行汇票、转账支票等。</w:t>
            </w:r>
          </w:p>
        </w:tc>
        <w:tc>
          <w:tcPr>
            <w:tcW w:w="1560" w:type="dxa"/>
            <w:vAlign w:val="center"/>
          </w:tcPr>
          <w:p w14:paraId="1A28403B">
            <w:pPr>
              <w:keepNext w:val="0"/>
              <w:keepLines w:val="0"/>
              <w:pageBreakBefore w:val="0"/>
              <w:kinsoku/>
              <w:wordWrap/>
              <w:overflowPunct/>
              <w:topLinePunct w:val="0"/>
              <w:autoSpaceDE/>
              <w:autoSpaceDN/>
              <w:bidi w:val="0"/>
              <w:adjustRightInd/>
              <w:snapToGrid/>
              <w:spacing w:line="240" w:lineRule="auto"/>
              <w:jc w:val="center"/>
              <w:textAlignment w:val="auto"/>
              <w:rPr>
                <w:b/>
                <w:color w:val="auto"/>
                <w:sz w:val="24"/>
              </w:rPr>
            </w:pPr>
          </w:p>
        </w:tc>
        <w:tc>
          <w:tcPr>
            <w:tcW w:w="1661" w:type="dxa"/>
            <w:vAlign w:val="center"/>
          </w:tcPr>
          <w:p w14:paraId="7EC9CF3F">
            <w:pPr>
              <w:keepNext w:val="0"/>
              <w:keepLines w:val="0"/>
              <w:pageBreakBefore w:val="0"/>
              <w:kinsoku/>
              <w:wordWrap/>
              <w:overflowPunct/>
              <w:topLinePunct w:val="0"/>
              <w:autoSpaceDE/>
              <w:autoSpaceDN/>
              <w:bidi w:val="0"/>
              <w:adjustRightInd/>
              <w:snapToGrid/>
              <w:spacing w:line="240" w:lineRule="auto"/>
              <w:jc w:val="center"/>
              <w:textAlignment w:val="auto"/>
              <w:rPr>
                <w:b/>
                <w:color w:val="auto"/>
                <w:sz w:val="24"/>
              </w:rPr>
            </w:pPr>
          </w:p>
        </w:tc>
      </w:tr>
    </w:tbl>
    <w:p w14:paraId="30E150EE">
      <w:pPr>
        <w:keepNext w:val="0"/>
        <w:keepLines w:val="0"/>
        <w:pageBreakBefore w:val="0"/>
        <w:widowControl w:val="0"/>
        <w:kinsoku/>
        <w:wordWrap/>
        <w:overflowPunct/>
        <w:topLinePunct w:val="0"/>
        <w:autoSpaceDE/>
        <w:autoSpaceDN/>
        <w:bidi w:val="0"/>
        <w:adjustRightInd/>
        <w:snapToGrid/>
        <w:spacing w:line="400" w:lineRule="exact"/>
        <w:ind w:firstLine="601"/>
        <w:textAlignment w:val="auto"/>
        <w:rPr>
          <w:color w:val="auto"/>
          <w:sz w:val="24"/>
          <w:szCs w:val="24"/>
        </w:rPr>
      </w:pPr>
      <w:r>
        <w:rPr>
          <w:rFonts w:hint="eastAsia"/>
          <w:b/>
          <w:bCs/>
          <w:color w:val="auto"/>
          <w:sz w:val="24"/>
          <w:szCs w:val="24"/>
        </w:rPr>
        <w:t>注：1、供应商必须</w:t>
      </w:r>
      <w:r>
        <w:rPr>
          <w:b/>
          <w:bCs/>
          <w:color w:val="auto"/>
          <w:sz w:val="24"/>
          <w:szCs w:val="24"/>
        </w:rPr>
        <w:t>对</w:t>
      </w:r>
      <w:r>
        <w:rPr>
          <w:rFonts w:hint="eastAsia"/>
          <w:b/>
          <w:bCs/>
          <w:color w:val="auto"/>
          <w:sz w:val="24"/>
          <w:szCs w:val="24"/>
        </w:rPr>
        <w:t>服务要求</w:t>
      </w:r>
      <w:r>
        <w:rPr>
          <w:b/>
          <w:bCs/>
          <w:color w:val="auto"/>
          <w:sz w:val="24"/>
          <w:szCs w:val="24"/>
        </w:rPr>
        <w:t>和商务要求中的实质性要求逐条做出明确响应</w:t>
      </w:r>
      <w:r>
        <w:rPr>
          <w:rFonts w:hint="eastAsia"/>
          <w:b/>
          <w:bCs/>
          <w:color w:val="auto"/>
          <w:sz w:val="24"/>
          <w:szCs w:val="24"/>
        </w:rPr>
        <w:t>，</w:t>
      </w:r>
      <w:r>
        <w:rPr>
          <w:rFonts w:hint="eastAsia"/>
          <w:b/>
          <w:bCs/>
          <w:color w:val="auto"/>
          <w:sz w:val="24"/>
        </w:rPr>
        <w:t>否则作无效报价处理</w:t>
      </w:r>
      <w:r>
        <w:rPr>
          <w:rFonts w:hint="eastAsia"/>
          <w:b/>
          <w:bCs/>
          <w:color w:val="auto"/>
          <w:sz w:val="24"/>
          <w:szCs w:val="24"/>
        </w:rPr>
        <w:t>。</w:t>
      </w:r>
      <w:r>
        <w:rPr>
          <w:rFonts w:hint="eastAsia"/>
          <w:b/>
          <w:bCs/>
          <w:color w:val="auto"/>
          <w:sz w:val="24"/>
          <w:szCs w:val="21"/>
        </w:rPr>
        <w:t>2、</w:t>
      </w:r>
      <w:r>
        <w:rPr>
          <w:rFonts w:hint="eastAsia"/>
          <w:b/>
          <w:bCs/>
          <w:i/>
          <w:color w:val="auto"/>
          <w:sz w:val="24"/>
          <w:szCs w:val="21"/>
          <w:u w:val="single"/>
        </w:rPr>
        <w:t>本磋商文件“第四章 采购需求”中斜体且有下划线部分为实质性要求和条件）。</w:t>
      </w:r>
      <w:r>
        <w:rPr>
          <w:rFonts w:hint="eastAsia"/>
          <w:color w:val="auto"/>
          <w:sz w:val="24"/>
          <w:szCs w:val="24"/>
        </w:rPr>
        <w:t>3</w:t>
      </w:r>
      <w:r>
        <w:rPr>
          <w:color w:val="auto"/>
          <w:sz w:val="24"/>
          <w:szCs w:val="24"/>
        </w:rPr>
        <w:t>、</w:t>
      </w:r>
      <w:r>
        <w:rPr>
          <w:rFonts w:hint="eastAsia"/>
          <w:color w:val="auto"/>
          <w:sz w:val="24"/>
          <w:szCs w:val="24"/>
        </w:rPr>
        <w:t>供应商未对实质性要求逐条作出明确响应的，或未按磋商文件要求提供证明材料（如有）的，该项目作无效报价处理。</w:t>
      </w:r>
    </w:p>
    <w:p w14:paraId="112EDF3F">
      <w:pPr>
        <w:spacing w:line="440" w:lineRule="exact"/>
        <w:jc w:val="center"/>
        <w:outlineLvl w:val="1"/>
        <w:rPr>
          <w:b/>
          <w:bCs/>
          <w:color w:val="auto"/>
          <w:sz w:val="28"/>
          <w:szCs w:val="28"/>
        </w:rPr>
      </w:pPr>
      <w:bookmarkStart w:id="202" w:name="_Toc4583"/>
      <w:r>
        <w:rPr>
          <w:color w:val="auto"/>
          <w:sz w:val="22"/>
        </w:rPr>
        <w:br w:type="column"/>
      </w:r>
      <w:bookmarkStart w:id="203" w:name="_Toc160113060"/>
      <w:bookmarkStart w:id="204" w:name="_Toc146524605"/>
      <w:bookmarkStart w:id="205" w:name="_Toc5762"/>
      <w:bookmarkStart w:id="206" w:name="_Toc3497"/>
      <w:bookmarkStart w:id="207" w:name="_Toc3662"/>
      <w:r>
        <w:rPr>
          <w:rFonts w:hint="eastAsia"/>
          <w:b/>
          <w:bCs/>
          <w:color w:val="auto"/>
          <w:sz w:val="28"/>
          <w:szCs w:val="28"/>
        </w:rPr>
        <w:t xml:space="preserve">附件12 </w:t>
      </w:r>
      <w:bookmarkEnd w:id="203"/>
      <w:bookmarkEnd w:id="204"/>
      <w:r>
        <w:rPr>
          <w:rFonts w:hint="eastAsia"/>
          <w:b/>
          <w:bCs/>
          <w:color w:val="auto"/>
          <w:sz w:val="28"/>
          <w:szCs w:val="28"/>
        </w:rPr>
        <w:t>人员配备表</w:t>
      </w:r>
      <w:bookmarkEnd w:id="202"/>
      <w:bookmarkEnd w:id="205"/>
      <w:bookmarkEnd w:id="206"/>
      <w:bookmarkEnd w:id="207"/>
    </w:p>
    <w:p w14:paraId="76CA8646">
      <w:pPr>
        <w:spacing w:line="440" w:lineRule="exact"/>
        <w:ind w:firstLine="240"/>
        <w:rPr>
          <w:color w:val="auto"/>
          <w:sz w:val="24"/>
          <w:szCs w:val="22"/>
        </w:rPr>
      </w:pPr>
      <w:r>
        <w:rPr>
          <w:color w:val="auto"/>
          <w:sz w:val="24"/>
          <w:szCs w:val="22"/>
        </w:rPr>
        <w:t>1、</w:t>
      </w:r>
      <w:r>
        <w:rPr>
          <w:rFonts w:hint="eastAsia"/>
          <w:color w:val="auto"/>
          <w:sz w:val="24"/>
          <w:szCs w:val="22"/>
        </w:rPr>
        <w:t>供应商根据本项目拟投入的人员配备情况，参考格式见下表。</w:t>
      </w:r>
    </w:p>
    <w:tbl>
      <w:tblPr>
        <w:tblStyle w:val="57"/>
        <w:tblW w:w="100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6"/>
        <w:gridCol w:w="1642"/>
        <w:gridCol w:w="1370"/>
        <w:gridCol w:w="1212"/>
        <w:gridCol w:w="1977"/>
        <w:gridCol w:w="1983"/>
        <w:gridCol w:w="1172"/>
      </w:tblGrid>
      <w:tr w14:paraId="678E1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706" w:type="dxa"/>
            <w:vAlign w:val="center"/>
          </w:tcPr>
          <w:p w14:paraId="59D6AA54">
            <w:pPr>
              <w:jc w:val="center"/>
              <w:rPr>
                <w:color w:val="auto"/>
                <w:sz w:val="24"/>
                <w:szCs w:val="24"/>
              </w:rPr>
            </w:pPr>
            <w:r>
              <w:rPr>
                <w:rFonts w:hint="eastAsia"/>
                <w:color w:val="auto"/>
                <w:sz w:val="24"/>
                <w:szCs w:val="24"/>
              </w:rPr>
              <w:t>序号</w:t>
            </w:r>
          </w:p>
        </w:tc>
        <w:tc>
          <w:tcPr>
            <w:tcW w:w="1642" w:type="dxa"/>
            <w:vAlign w:val="center"/>
          </w:tcPr>
          <w:p w14:paraId="40F5597B">
            <w:pPr>
              <w:widowControl/>
              <w:tabs>
                <w:tab w:val="left" w:pos="0"/>
              </w:tabs>
              <w:ind w:right="-27"/>
              <w:jc w:val="center"/>
              <w:rPr>
                <w:color w:val="auto"/>
                <w:sz w:val="24"/>
                <w:szCs w:val="24"/>
              </w:rPr>
            </w:pPr>
            <w:r>
              <w:rPr>
                <w:color w:val="auto"/>
                <w:sz w:val="24"/>
                <w:szCs w:val="24"/>
              </w:rPr>
              <w:t>本项目中</w:t>
            </w:r>
            <w:r>
              <w:rPr>
                <w:rFonts w:hint="eastAsia"/>
                <w:color w:val="auto"/>
                <w:sz w:val="24"/>
                <w:szCs w:val="24"/>
              </w:rPr>
              <w:t>拟</w:t>
            </w:r>
            <w:r>
              <w:rPr>
                <w:color w:val="auto"/>
                <w:sz w:val="24"/>
                <w:szCs w:val="24"/>
              </w:rPr>
              <w:t>担任的职务</w:t>
            </w:r>
          </w:p>
        </w:tc>
        <w:tc>
          <w:tcPr>
            <w:tcW w:w="1370" w:type="dxa"/>
            <w:vAlign w:val="center"/>
          </w:tcPr>
          <w:p w14:paraId="0F575DB4">
            <w:pPr>
              <w:jc w:val="center"/>
              <w:rPr>
                <w:color w:val="auto"/>
                <w:sz w:val="24"/>
                <w:szCs w:val="24"/>
              </w:rPr>
            </w:pPr>
            <w:r>
              <w:rPr>
                <w:rFonts w:hint="eastAsia"/>
                <w:color w:val="auto"/>
                <w:sz w:val="24"/>
                <w:szCs w:val="24"/>
              </w:rPr>
              <w:t>姓名</w:t>
            </w:r>
          </w:p>
        </w:tc>
        <w:tc>
          <w:tcPr>
            <w:tcW w:w="1212" w:type="dxa"/>
            <w:vAlign w:val="center"/>
          </w:tcPr>
          <w:p w14:paraId="7E23BDA6">
            <w:pPr>
              <w:jc w:val="center"/>
              <w:rPr>
                <w:color w:val="auto"/>
                <w:sz w:val="24"/>
                <w:szCs w:val="24"/>
              </w:rPr>
            </w:pPr>
            <w:r>
              <w:rPr>
                <w:rFonts w:hint="eastAsia"/>
                <w:color w:val="auto"/>
                <w:sz w:val="24"/>
                <w:szCs w:val="24"/>
              </w:rPr>
              <w:t>年龄</w:t>
            </w:r>
          </w:p>
        </w:tc>
        <w:tc>
          <w:tcPr>
            <w:tcW w:w="1977" w:type="dxa"/>
            <w:vAlign w:val="center"/>
          </w:tcPr>
          <w:p w14:paraId="691223B1">
            <w:pPr>
              <w:jc w:val="center"/>
              <w:rPr>
                <w:color w:val="auto"/>
                <w:sz w:val="24"/>
                <w:szCs w:val="24"/>
              </w:rPr>
            </w:pPr>
            <w:r>
              <w:rPr>
                <w:rFonts w:hint="eastAsia"/>
                <w:color w:val="auto"/>
                <w:sz w:val="24"/>
                <w:szCs w:val="24"/>
              </w:rPr>
              <w:t>身份证号码</w:t>
            </w:r>
          </w:p>
        </w:tc>
        <w:tc>
          <w:tcPr>
            <w:tcW w:w="1983" w:type="dxa"/>
            <w:vAlign w:val="center"/>
          </w:tcPr>
          <w:p w14:paraId="1904559A">
            <w:pPr>
              <w:jc w:val="center"/>
              <w:rPr>
                <w:color w:val="auto"/>
                <w:sz w:val="24"/>
                <w:szCs w:val="24"/>
              </w:rPr>
            </w:pPr>
            <w:r>
              <w:rPr>
                <w:rFonts w:hint="eastAsia"/>
                <w:color w:val="auto"/>
                <w:sz w:val="24"/>
                <w:szCs w:val="24"/>
              </w:rPr>
              <w:t>具有证书情况</w:t>
            </w:r>
          </w:p>
        </w:tc>
        <w:tc>
          <w:tcPr>
            <w:tcW w:w="1172" w:type="dxa"/>
            <w:vAlign w:val="center"/>
          </w:tcPr>
          <w:p w14:paraId="0A70D59F">
            <w:pPr>
              <w:jc w:val="center"/>
              <w:rPr>
                <w:color w:val="auto"/>
                <w:sz w:val="24"/>
                <w:szCs w:val="24"/>
              </w:rPr>
            </w:pPr>
            <w:r>
              <w:rPr>
                <w:rFonts w:hint="eastAsia"/>
                <w:color w:val="auto"/>
                <w:sz w:val="24"/>
                <w:szCs w:val="24"/>
              </w:rPr>
              <w:t>备  注</w:t>
            </w:r>
          </w:p>
        </w:tc>
      </w:tr>
      <w:tr w14:paraId="22159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6" w:type="dxa"/>
            <w:vAlign w:val="center"/>
          </w:tcPr>
          <w:p w14:paraId="717C6554">
            <w:pPr>
              <w:jc w:val="center"/>
              <w:rPr>
                <w:color w:val="auto"/>
                <w:sz w:val="24"/>
                <w:szCs w:val="24"/>
              </w:rPr>
            </w:pPr>
            <w:r>
              <w:rPr>
                <w:rFonts w:hint="eastAsia"/>
                <w:color w:val="auto"/>
                <w:sz w:val="24"/>
                <w:szCs w:val="24"/>
              </w:rPr>
              <w:t>1</w:t>
            </w:r>
          </w:p>
        </w:tc>
        <w:tc>
          <w:tcPr>
            <w:tcW w:w="1642" w:type="dxa"/>
            <w:vAlign w:val="center"/>
          </w:tcPr>
          <w:p w14:paraId="1EA72DCB">
            <w:pPr>
              <w:widowControl/>
              <w:tabs>
                <w:tab w:val="left" w:pos="0"/>
              </w:tabs>
              <w:ind w:right="-27"/>
              <w:jc w:val="center"/>
              <w:rPr>
                <w:rFonts w:hint="eastAsia" w:eastAsia="宋体"/>
                <w:color w:val="auto"/>
                <w:sz w:val="24"/>
                <w:szCs w:val="24"/>
                <w:lang w:eastAsia="zh-CN"/>
              </w:rPr>
            </w:pPr>
            <w:r>
              <w:rPr>
                <w:rFonts w:hint="eastAsia"/>
                <w:color w:val="auto"/>
                <w:sz w:val="24"/>
                <w:szCs w:val="24"/>
              </w:rPr>
              <w:t>项目</w:t>
            </w:r>
            <w:r>
              <w:rPr>
                <w:rFonts w:hint="eastAsia"/>
                <w:color w:val="auto"/>
                <w:sz w:val="24"/>
                <w:szCs w:val="24"/>
                <w:lang w:val="en-US" w:eastAsia="zh-CN"/>
              </w:rPr>
              <w:t>经理</w:t>
            </w:r>
          </w:p>
        </w:tc>
        <w:tc>
          <w:tcPr>
            <w:tcW w:w="1370" w:type="dxa"/>
            <w:vAlign w:val="center"/>
          </w:tcPr>
          <w:p w14:paraId="1DE20339">
            <w:pPr>
              <w:jc w:val="center"/>
              <w:rPr>
                <w:color w:val="auto"/>
                <w:sz w:val="24"/>
                <w:szCs w:val="24"/>
              </w:rPr>
            </w:pPr>
          </w:p>
        </w:tc>
        <w:tc>
          <w:tcPr>
            <w:tcW w:w="1212" w:type="dxa"/>
            <w:vAlign w:val="center"/>
          </w:tcPr>
          <w:p w14:paraId="65580159">
            <w:pPr>
              <w:jc w:val="center"/>
              <w:rPr>
                <w:color w:val="auto"/>
                <w:sz w:val="24"/>
                <w:szCs w:val="24"/>
              </w:rPr>
            </w:pPr>
          </w:p>
        </w:tc>
        <w:tc>
          <w:tcPr>
            <w:tcW w:w="1977" w:type="dxa"/>
            <w:vAlign w:val="center"/>
          </w:tcPr>
          <w:p w14:paraId="04EA2629">
            <w:pPr>
              <w:jc w:val="center"/>
              <w:rPr>
                <w:color w:val="auto"/>
                <w:sz w:val="24"/>
                <w:szCs w:val="24"/>
              </w:rPr>
            </w:pPr>
          </w:p>
        </w:tc>
        <w:tc>
          <w:tcPr>
            <w:tcW w:w="1983" w:type="dxa"/>
            <w:vAlign w:val="center"/>
          </w:tcPr>
          <w:p w14:paraId="15C9112E">
            <w:pPr>
              <w:jc w:val="center"/>
              <w:rPr>
                <w:color w:val="auto"/>
                <w:sz w:val="24"/>
                <w:szCs w:val="24"/>
              </w:rPr>
            </w:pPr>
          </w:p>
        </w:tc>
        <w:tc>
          <w:tcPr>
            <w:tcW w:w="1172" w:type="dxa"/>
            <w:vAlign w:val="center"/>
          </w:tcPr>
          <w:p w14:paraId="14C9303E">
            <w:pPr>
              <w:jc w:val="center"/>
              <w:rPr>
                <w:color w:val="auto"/>
                <w:sz w:val="24"/>
                <w:szCs w:val="24"/>
              </w:rPr>
            </w:pPr>
          </w:p>
        </w:tc>
      </w:tr>
      <w:tr w14:paraId="4A962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06" w:type="dxa"/>
            <w:vAlign w:val="center"/>
          </w:tcPr>
          <w:p w14:paraId="38DC7191">
            <w:pPr>
              <w:jc w:val="center"/>
              <w:rPr>
                <w:color w:val="auto"/>
                <w:sz w:val="24"/>
                <w:szCs w:val="24"/>
              </w:rPr>
            </w:pPr>
            <w:r>
              <w:rPr>
                <w:rFonts w:hint="eastAsia"/>
                <w:color w:val="auto"/>
                <w:sz w:val="24"/>
                <w:szCs w:val="24"/>
              </w:rPr>
              <w:t>2</w:t>
            </w:r>
          </w:p>
        </w:tc>
        <w:tc>
          <w:tcPr>
            <w:tcW w:w="1642" w:type="dxa"/>
            <w:vAlign w:val="center"/>
          </w:tcPr>
          <w:p w14:paraId="0844B3C5">
            <w:pPr>
              <w:widowControl/>
              <w:tabs>
                <w:tab w:val="left" w:pos="0"/>
              </w:tabs>
              <w:spacing w:line="360" w:lineRule="auto"/>
              <w:ind w:right="-27"/>
              <w:jc w:val="center"/>
              <w:rPr>
                <w:color w:val="auto"/>
                <w:sz w:val="24"/>
                <w:szCs w:val="24"/>
              </w:rPr>
            </w:pPr>
          </w:p>
        </w:tc>
        <w:tc>
          <w:tcPr>
            <w:tcW w:w="1370" w:type="dxa"/>
            <w:vAlign w:val="center"/>
          </w:tcPr>
          <w:p w14:paraId="0E4C1140">
            <w:pPr>
              <w:jc w:val="center"/>
              <w:rPr>
                <w:color w:val="auto"/>
                <w:sz w:val="24"/>
                <w:szCs w:val="24"/>
              </w:rPr>
            </w:pPr>
          </w:p>
        </w:tc>
        <w:tc>
          <w:tcPr>
            <w:tcW w:w="1212" w:type="dxa"/>
            <w:vAlign w:val="center"/>
          </w:tcPr>
          <w:p w14:paraId="148C1390">
            <w:pPr>
              <w:jc w:val="center"/>
              <w:rPr>
                <w:color w:val="auto"/>
                <w:sz w:val="24"/>
                <w:szCs w:val="24"/>
              </w:rPr>
            </w:pPr>
          </w:p>
        </w:tc>
        <w:tc>
          <w:tcPr>
            <w:tcW w:w="1977" w:type="dxa"/>
            <w:vAlign w:val="center"/>
          </w:tcPr>
          <w:p w14:paraId="6CAFA3CB">
            <w:pPr>
              <w:jc w:val="center"/>
              <w:rPr>
                <w:color w:val="auto"/>
                <w:sz w:val="24"/>
                <w:szCs w:val="24"/>
              </w:rPr>
            </w:pPr>
          </w:p>
        </w:tc>
        <w:tc>
          <w:tcPr>
            <w:tcW w:w="1983" w:type="dxa"/>
            <w:vAlign w:val="center"/>
          </w:tcPr>
          <w:p w14:paraId="1A25748B">
            <w:pPr>
              <w:jc w:val="center"/>
              <w:rPr>
                <w:color w:val="auto"/>
                <w:sz w:val="24"/>
                <w:szCs w:val="24"/>
              </w:rPr>
            </w:pPr>
          </w:p>
        </w:tc>
        <w:tc>
          <w:tcPr>
            <w:tcW w:w="1172" w:type="dxa"/>
            <w:vAlign w:val="center"/>
          </w:tcPr>
          <w:p w14:paraId="08CF56B5">
            <w:pPr>
              <w:jc w:val="center"/>
              <w:rPr>
                <w:color w:val="auto"/>
                <w:sz w:val="24"/>
                <w:szCs w:val="24"/>
              </w:rPr>
            </w:pPr>
          </w:p>
        </w:tc>
      </w:tr>
      <w:tr w14:paraId="15680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6" w:type="dxa"/>
            <w:vAlign w:val="center"/>
          </w:tcPr>
          <w:p w14:paraId="60FDCDB0">
            <w:pPr>
              <w:jc w:val="center"/>
              <w:rPr>
                <w:color w:val="auto"/>
                <w:sz w:val="24"/>
                <w:szCs w:val="24"/>
              </w:rPr>
            </w:pPr>
            <w:r>
              <w:rPr>
                <w:rFonts w:hint="eastAsia"/>
                <w:color w:val="auto"/>
                <w:sz w:val="24"/>
                <w:szCs w:val="24"/>
              </w:rPr>
              <w:t>3</w:t>
            </w:r>
          </w:p>
        </w:tc>
        <w:tc>
          <w:tcPr>
            <w:tcW w:w="1642" w:type="dxa"/>
            <w:vAlign w:val="center"/>
          </w:tcPr>
          <w:p w14:paraId="1B9D5726">
            <w:pPr>
              <w:widowControl/>
              <w:tabs>
                <w:tab w:val="left" w:pos="0"/>
              </w:tabs>
              <w:spacing w:line="360" w:lineRule="auto"/>
              <w:ind w:right="-27"/>
              <w:jc w:val="center"/>
              <w:rPr>
                <w:color w:val="auto"/>
                <w:sz w:val="24"/>
                <w:szCs w:val="24"/>
              </w:rPr>
            </w:pPr>
          </w:p>
        </w:tc>
        <w:tc>
          <w:tcPr>
            <w:tcW w:w="1370" w:type="dxa"/>
            <w:vAlign w:val="center"/>
          </w:tcPr>
          <w:p w14:paraId="2923FECC">
            <w:pPr>
              <w:jc w:val="center"/>
              <w:rPr>
                <w:color w:val="auto"/>
                <w:sz w:val="24"/>
                <w:szCs w:val="24"/>
              </w:rPr>
            </w:pPr>
          </w:p>
        </w:tc>
        <w:tc>
          <w:tcPr>
            <w:tcW w:w="1212" w:type="dxa"/>
            <w:vAlign w:val="center"/>
          </w:tcPr>
          <w:p w14:paraId="500B2023">
            <w:pPr>
              <w:jc w:val="center"/>
              <w:rPr>
                <w:color w:val="auto"/>
                <w:sz w:val="24"/>
                <w:szCs w:val="24"/>
              </w:rPr>
            </w:pPr>
          </w:p>
        </w:tc>
        <w:tc>
          <w:tcPr>
            <w:tcW w:w="1977" w:type="dxa"/>
            <w:vAlign w:val="center"/>
          </w:tcPr>
          <w:p w14:paraId="51276838">
            <w:pPr>
              <w:jc w:val="center"/>
              <w:rPr>
                <w:color w:val="auto"/>
                <w:sz w:val="24"/>
                <w:szCs w:val="24"/>
              </w:rPr>
            </w:pPr>
          </w:p>
        </w:tc>
        <w:tc>
          <w:tcPr>
            <w:tcW w:w="1983" w:type="dxa"/>
            <w:vAlign w:val="center"/>
          </w:tcPr>
          <w:p w14:paraId="49DC13CA">
            <w:pPr>
              <w:jc w:val="center"/>
              <w:rPr>
                <w:color w:val="auto"/>
                <w:sz w:val="24"/>
                <w:szCs w:val="24"/>
              </w:rPr>
            </w:pPr>
          </w:p>
        </w:tc>
        <w:tc>
          <w:tcPr>
            <w:tcW w:w="1172" w:type="dxa"/>
            <w:vAlign w:val="center"/>
          </w:tcPr>
          <w:p w14:paraId="2634EB7D">
            <w:pPr>
              <w:jc w:val="center"/>
              <w:rPr>
                <w:color w:val="auto"/>
                <w:sz w:val="24"/>
                <w:szCs w:val="24"/>
              </w:rPr>
            </w:pPr>
          </w:p>
        </w:tc>
      </w:tr>
      <w:tr w14:paraId="1F45D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6" w:type="dxa"/>
            <w:vAlign w:val="center"/>
          </w:tcPr>
          <w:p w14:paraId="44A5FF79">
            <w:pPr>
              <w:jc w:val="center"/>
              <w:rPr>
                <w:color w:val="auto"/>
                <w:sz w:val="24"/>
                <w:szCs w:val="24"/>
              </w:rPr>
            </w:pPr>
            <w:r>
              <w:rPr>
                <w:rFonts w:hint="eastAsia"/>
                <w:color w:val="auto"/>
                <w:sz w:val="24"/>
                <w:szCs w:val="24"/>
              </w:rPr>
              <w:t>4</w:t>
            </w:r>
          </w:p>
        </w:tc>
        <w:tc>
          <w:tcPr>
            <w:tcW w:w="1642" w:type="dxa"/>
            <w:vAlign w:val="center"/>
          </w:tcPr>
          <w:p w14:paraId="05B9E255">
            <w:pPr>
              <w:jc w:val="center"/>
              <w:rPr>
                <w:color w:val="auto"/>
                <w:sz w:val="24"/>
                <w:szCs w:val="24"/>
              </w:rPr>
            </w:pPr>
          </w:p>
        </w:tc>
        <w:tc>
          <w:tcPr>
            <w:tcW w:w="1370" w:type="dxa"/>
            <w:vAlign w:val="center"/>
          </w:tcPr>
          <w:p w14:paraId="15FC89AB">
            <w:pPr>
              <w:jc w:val="center"/>
              <w:rPr>
                <w:color w:val="auto"/>
                <w:sz w:val="24"/>
                <w:szCs w:val="24"/>
              </w:rPr>
            </w:pPr>
          </w:p>
        </w:tc>
        <w:tc>
          <w:tcPr>
            <w:tcW w:w="1212" w:type="dxa"/>
            <w:vAlign w:val="center"/>
          </w:tcPr>
          <w:p w14:paraId="07A1A950">
            <w:pPr>
              <w:jc w:val="center"/>
              <w:rPr>
                <w:color w:val="auto"/>
                <w:sz w:val="24"/>
                <w:szCs w:val="24"/>
              </w:rPr>
            </w:pPr>
          </w:p>
        </w:tc>
        <w:tc>
          <w:tcPr>
            <w:tcW w:w="1977" w:type="dxa"/>
            <w:vAlign w:val="center"/>
          </w:tcPr>
          <w:p w14:paraId="344E0E9E">
            <w:pPr>
              <w:jc w:val="center"/>
              <w:rPr>
                <w:color w:val="auto"/>
                <w:sz w:val="24"/>
                <w:szCs w:val="24"/>
              </w:rPr>
            </w:pPr>
          </w:p>
        </w:tc>
        <w:tc>
          <w:tcPr>
            <w:tcW w:w="1983" w:type="dxa"/>
            <w:vAlign w:val="center"/>
          </w:tcPr>
          <w:p w14:paraId="0B9BCE2B">
            <w:pPr>
              <w:jc w:val="center"/>
              <w:rPr>
                <w:color w:val="auto"/>
                <w:sz w:val="24"/>
                <w:szCs w:val="24"/>
              </w:rPr>
            </w:pPr>
          </w:p>
        </w:tc>
        <w:tc>
          <w:tcPr>
            <w:tcW w:w="1172" w:type="dxa"/>
            <w:vAlign w:val="center"/>
          </w:tcPr>
          <w:p w14:paraId="427527B6">
            <w:pPr>
              <w:jc w:val="center"/>
              <w:rPr>
                <w:color w:val="auto"/>
                <w:sz w:val="24"/>
                <w:szCs w:val="24"/>
              </w:rPr>
            </w:pPr>
          </w:p>
        </w:tc>
      </w:tr>
      <w:tr w14:paraId="04B9D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6" w:type="dxa"/>
            <w:vAlign w:val="center"/>
          </w:tcPr>
          <w:p w14:paraId="1B2B3F8D">
            <w:pPr>
              <w:jc w:val="center"/>
              <w:rPr>
                <w:color w:val="auto"/>
                <w:sz w:val="24"/>
                <w:szCs w:val="24"/>
              </w:rPr>
            </w:pPr>
            <w:r>
              <w:rPr>
                <w:rFonts w:hint="eastAsia"/>
                <w:color w:val="auto"/>
                <w:sz w:val="24"/>
                <w:szCs w:val="24"/>
              </w:rPr>
              <w:t>5</w:t>
            </w:r>
          </w:p>
        </w:tc>
        <w:tc>
          <w:tcPr>
            <w:tcW w:w="1642" w:type="dxa"/>
            <w:vAlign w:val="center"/>
          </w:tcPr>
          <w:p w14:paraId="1DC9D3D0">
            <w:pPr>
              <w:jc w:val="center"/>
              <w:rPr>
                <w:color w:val="auto"/>
                <w:sz w:val="24"/>
                <w:szCs w:val="24"/>
              </w:rPr>
            </w:pPr>
          </w:p>
        </w:tc>
        <w:tc>
          <w:tcPr>
            <w:tcW w:w="1370" w:type="dxa"/>
            <w:vAlign w:val="center"/>
          </w:tcPr>
          <w:p w14:paraId="67BECF33">
            <w:pPr>
              <w:jc w:val="center"/>
              <w:rPr>
                <w:color w:val="auto"/>
                <w:sz w:val="24"/>
                <w:szCs w:val="24"/>
              </w:rPr>
            </w:pPr>
          </w:p>
        </w:tc>
        <w:tc>
          <w:tcPr>
            <w:tcW w:w="1212" w:type="dxa"/>
            <w:vAlign w:val="center"/>
          </w:tcPr>
          <w:p w14:paraId="726696C1">
            <w:pPr>
              <w:jc w:val="center"/>
              <w:rPr>
                <w:color w:val="auto"/>
                <w:sz w:val="24"/>
                <w:szCs w:val="24"/>
              </w:rPr>
            </w:pPr>
          </w:p>
        </w:tc>
        <w:tc>
          <w:tcPr>
            <w:tcW w:w="1977" w:type="dxa"/>
            <w:vAlign w:val="center"/>
          </w:tcPr>
          <w:p w14:paraId="6171B837">
            <w:pPr>
              <w:jc w:val="center"/>
              <w:rPr>
                <w:color w:val="auto"/>
                <w:sz w:val="24"/>
                <w:szCs w:val="24"/>
              </w:rPr>
            </w:pPr>
          </w:p>
        </w:tc>
        <w:tc>
          <w:tcPr>
            <w:tcW w:w="1983" w:type="dxa"/>
            <w:vAlign w:val="center"/>
          </w:tcPr>
          <w:p w14:paraId="0130185A">
            <w:pPr>
              <w:jc w:val="center"/>
              <w:rPr>
                <w:color w:val="auto"/>
                <w:sz w:val="24"/>
                <w:szCs w:val="24"/>
              </w:rPr>
            </w:pPr>
          </w:p>
        </w:tc>
        <w:tc>
          <w:tcPr>
            <w:tcW w:w="1172" w:type="dxa"/>
            <w:vAlign w:val="center"/>
          </w:tcPr>
          <w:p w14:paraId="6D075450">
            <w:pPr>
              <w:jc w:val="center"/>
              <w:rPr>
                <w:color w:val="auto"/>
                <w:sz w:val="24"/>
                <w:szCs w:val="24"/>
              </w:rPr>
            </w:pPr>
          </w:p>
        </w:tc>
      </w:tr>
      <w:tr w14:paraId="01E44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6" w:type="dxa"/>
            <w:vAlign w:val="center"/>
          </w:tcPr>
          <w:p w14:paraId="2D44D613">
            <w:pPr>
              <w:jc w:val="center"/>
              <w:rPr>
                <w:color w:val="auto"/>
                <w:sz w:val="24"/>
                <w:szCs w:val="24"/>
              </w:rPr>
            </w:pPr>
            <w:r>
              <w:rPr>
                <w:rFonts w:hint="eastAsia"/>
                <w:color w:val="auto"/>
                <w:sz w:val="24"/>
                <w:szCs w:val="24"/>
              </w:rPr>
              <w:t>…</w:t>
            </w:r>
          </w:p>
        </w:tc>
        <w:tc>
          <w:tcPr>
            <w:tcW w:w="1642" w:type="dxa"/>
          </w:tcPr>
          <w:p w14:paraId="1587B0D7">
            <w:pPr>
              <w:rPr>
                <w:color w:val="auto"/>
                <w:sz w:val="24"/>
                <w:szCs w:val="24"/>
              </w:rPr>
            </w:pPr>
          </w:p>
        </w:tc>
        <w:tc>
          <w:tcPr>
            <w:tcW w:w="1370" w:type="dxa"/>
            <w:vAlign w:val="center"/>
          </w:tcPr>
          <w:p w14:paraId="0B7D58E8">
            <w:pPr>
              <w:jc w:val="center"/>
              <w:rPr>
                <w:color w:val="auto"/>
                <w:sz w:val="24"/>
                <w:szCs w:val="24"/>
              </w:rPr>
            </w:pPr>
          </w:p>
        </w:tc>
        <w:tc>
          <w:tcPr>
            <w:tcW w:w="1212" w:type="dxa"/>
            <w:vAlign w:val="center"/>
          </w:tcPr>
          <w:p w14:paraId="298218C0">
            <w:pPr>
              <w:jc w:val="center"/>
              <w:rPr>
                <w:color w:val="auto"/>
                <w:sz w:val="24"/>
                <w:szCs w:val="24"/>
              </w:rPr>
            </w:pPr>
          </w:p>
        </w:tc>
        <w:tc>
          <w:tcPr>
            <w:tcW w:w="1977" w:type="dxa"/>
            <w:vAlign w:val="center"/>
          </w:tcPr>
          <w:p w14:paraId="6B7AEB12">
            <w:pPr>
              <w:jc w:val="center"/>
              <w:rPr>
                <w:color w:val="auto"/>
                <w:sz w:val="24"/>
                <w:szCs w:val="24"/>
              </w:rPr>
            </w:pPr>
          </w:p>
        </w:tc>
        <w:tc>
          <w:tcPr>
            <w:tcW w:w="1983" w:type="dxa"/>
            <w:vAlign w:val="center"/>
          </w:tcPr>
          <w:p w14:paraId="1DBAFF5C">
            <w:pPr>
              <w:jc w:val="center"/>
              <w:rPr>
                <w:color w:val="auto"/>
                <w:sz w:val="24"/>
                <w:szCs w:val="24"/>
              </w:rPr>
            </w:pPr>
          </w:p>
        </w:tc>
        <w:tc>
          <w:tcPr>
            <w:tcW w:w="1172" w:type="dxa"/>
            <w:vAlign w:val="center"/>
          </w:tcPr>
          <w:p w14:paraId="1B1B1EEB">
            <w:pPr>
              <w:jc w:val="center"/>
              <w:rPr>
                <w:color w:val="auto"/>
                <w:sz w:val="24"/>
                <w:szCs w:val="24"/>
              </w:rPr>
            </w:pPr>
          </w:p>
        </w:tc>
      </w:tr>
    </w:tbl>
    <w:p w14:paraId="3BE8AA8D">
      <w:pPr>
        <w:pStyle w:val="285"/>
        <w:spacing w:line="440" w:lineRule="exact"/>
        <w:ind w:firstLine="482" w:firstLineChars="200"/>
        <w:rPr>
          <w:rFonts w:hint="default" w:ascii="Times New Roman" w:eastAsia="宋体"/>
          <w:b/>
          <w:color w:val="auto"/>
          <w:sz w:val="24"/>
          <w:szCs w:val="24"/>
          <w:lang w:val="en-US" w:eastAsia="zh-CN"/>
        </w:rPr>
      </w:pPr>
      <w:r>
        <w:rPr>
          <w:rFonts w:ascii="Times New Roman"/>
          <w:b/>
          <w:bCs/>
          <w:color w:val="auto"/>
          <w:sz w:val="24"/>
          <w:szCs w:val="22"/>
        </w:rPr>
        <w:t>注：</w:t>
      </w:r>
      <w:r>
        <w:rPr>
          <w:rFonts w:hint="eastAsia" w:ascii="Times New Roman"/>
          <w:b/>
          <w:bCs/>
          <w:color w:val="auto"/>
          <w:sz w:val="24"/>
          <w:szCs w:val="22"/>
        </w:rPr>
        <w:t>请供应商根据“第五章  评标方法与评标标准”</w:t>
      </w:r>
      <w:r>
        <w:rPr>
          <w:rFonts w:hint="eastAsia" w:ascii="Times New Roman"/>
          <w:b/>
          <w:bCs/>
          <w:color w:val="auto"/>
          <w:sz w:val="24"/>
          <w:szCs w:val="22"/>
          <w:lang w:val="en-US" w:eastAsia="zh-CN"/>
        </w:rPr>
        <w:t>中“</w:t>
      </w:r>
      <w:r>
        <w:rPr>
          <w:rFonts w:hint="eastAsia" w:ascii="Times New Roman" w:hAnsi="Times New Roman" w:eastAsia="宋体" w:cs="宋体"/>
          <w:b/>
          <w:bCs/>
          <w:color w:val="auto"/>
          <w:sz w:val="24"/>
        </w:rPr>
        <w:t>项目经理配备情况</w:t>
      </w:r>
      <w:r>
        <w:rPr>
          <w:rFonts w:hint="eastAsia" w:ascii="Times New Roman"/>
          <w:b/>
          <w:bCs/>
          <w:color w:val="auto"/>
          <w:sz w:val="24"/>
          <w:szCs w:val="22"/>
          <w:lang w:val="en-US" w:eastAsia="zh-CN"/>
        </w:rPr>
        <w:t>”、“项目组成员情况”提供相关证明材料。</w:t>
      </w:r>
    </w:p>
    <w:p w14:paraId="245C9A33">
      <w:pPr>
        <w:rPr>
          <w:color w:val="auto"/>
        </w:rPr>
      </w:pPr>
    </w:p>
    <w:p w14:paraId="151C142F">
      <w:pPr>
        <w:spacing w:line="440" w:lineRule="exact"/>
        <w:jc w:val="center"/>
        <w:outlineLvl w:val="1"/>
        <w:rPr>
          <w:color w:val="auto"/>
          <w:sz w:val="24"/>
          <w:szCs w:val="24"/>
        </w:rPr>
      </w:pPr>
      <w:r>
        <w:rPr>
          <w:rFonts w:hint="eastAsia"/>
          <w:color w:val="auto"/>
        </w:rPr>
        <w:br w:type="page" w:clear="all"/>
      </w:r>
      <w:bookmarkStart w:id="208" w:name="_Toc1968"/>
      <w:r>
        <w:rPr>
          <w:rFonts w:hint="eastAsia"/>
          <w:b/>
          <w:bCs/>
          <w:color w:val="auto"/>
          <w:sz w:val="28"/>
          <w:szCs w:val="28"/>
        </w:rPr>
        <w:t>附件13 项目实施方案</w:t>
      </w:r>
      <w:bookmarkEnd w:id="198"/>
      <w:bookmarkEnd w:id="199"/>
      <w:bookmarkEnd w:id="200"/>
      <w:bookmarkEnd w:id="201"/>
      <w:bookmarkEnd w:id="208"/>
    </w:p>
    <w:p w14:paraId="713EFC2E">
      <w:pPr>
        <w:spacing w:line="440" w:lineRule="exact"/>
        <w:rPr>
          <w:color w:val="auto"/>
          <w:sz w:val="24"/>
          <w:szCs w:val="24"/>
        </w:rPr>
      </w:pPr>
      <w:r>
        <w:rPr>
          <w:color w:val="auto"/>
          <w:sz w:val="24"/>
          <w:szCs w:val="24"/>
        </w:rPr>
        <w:t>主要内容应包括但不限于以下方面：</w:t>
      </w:r>
    </w:p>
    <w:p w14:paraId="185D57E4">
      <w:pPr>
        <w:spacing w:line="440" w:lineRule="exact"/>
        <w:ind w:firstLine="480"/>
        <w:rPr>
          <w:rFonts w:hint="eastAsia"/>
          <w:bCs/>
          <w:color w:val="auto"/>
          <w:sz w:val="24"/>
        </w:rPr>
      </w:pPr>
      <w:r>
        <w:rPr>
          <w:rFonts w:hint="eastAsia"/>
          <w:bCs/>
          <w:color w:val="auto"/>
          <w:sz w:val="24"/>
        </w:rPr>
        <w:t>1、系统业务规范理解；</w:t>
      </w:r>
    </w:p>
    <w:p w14:paraId="50017DF3">
      <w:pPr>
        <w:spacing w:line="440" w:lineRule="exact"/>
        <w:ind w:firstLine="480"/>
        <w:rPr>
          <w:rFonts w:hint="eastAsia"/>
          <w:bCs/>
          <w:color w:val="auto"/>
          <w:sz w:val="24"/>
        </w:rPr>
      </w:pPr>
      <w:r>
        <w:rPr>
          <w:rFonts w:hint="eastAsia"/>
          <w:bCs/>
          <w:color w:val="auto"/>
          <w:sz w:val="24"/>
        </w:rPr>
        <w:t>2、系统逻辑框架、技术框架、数据框架理解；</w:t>
      </w:r>
    </w:p>
    <w:p w14:paraId="6449AEFD">
      <w:pPr>
        <w:spacing w:line="440" w:lineRule="exact"/>
        <w:ind w:firstLine="480"/>
        <w:rPr>
          <w:rFonts w:hint="eastAsia"/>
          <w:bCs/>
          <w:color w:val="auto"/>
          <w:sz w:val="24"/>
        </w:rPr>
      </w:pPr>
      <w:r>
        <w:rPr>
          <w:rFonts w:hint="eastAsia"/>
          <w:bCs/>
          <w:color w:val="auto"/>
          <w:sz w:val="24"/>
        </w:rPr>
        <w:t>3、预算编制和绩效管理实施及运维方案；</w:t>
      </w:r>
    </w:p>
    <w:p w14:paraId="1ACDFC81">
      <w:pPr>
        <w:spacing w:line="440" w:lineRule="exact"/>
        <w:ind w:firstLine="480"/>
        <w:rPr>
          <w:rFonts w:hint="eastAsia"/>
          <w:bCs/>
          <w:color w:val="auto"/>
          <w:sz w:val="24"/>
        </w:rPr>
      </w:pPr>
      <w:r>
        <w:rPr>
          <w:rFonts w:hint="eastAsia"/>
          <w:bCs/>
          <w:color w:val="auto"/>
          <w:sz w:val="24"/>
          <w:lang w:val="en-US" w:eastAsia="zh-CN"/>
        </w:rPr>
        <w:t>4、</w:t>
      </w:r>
      <w:r>
        <w:rPr>
          <w:rFonts w:hint="eastAsia"/>
          <w:bCs/>
          <w:color w:val="auto"/>
          <w:sz w:val="24"/>
        </w:rPr>
        <w:t>预算执行模块实施及运维方案</w:t>
      </w:r>
    </w:p>
    <w:p w14:paraId="20D23EB6">
      <w:pPr>
        <w:spacing w:line="440" w:lineRule="exact"/>
        <w:ind w:firstLine="480"/>
        <w:rPr>
          <w:rFonts w:hint="eastAsia"/>
          <w:bCs/>
          <w:color w:val="auto"/>
          <w:sz w:val="24"/>
          <w:lang w:val="en-US" w:eastAsia="zh-CN"/>
        </w:rPr>
      </w:pPr>
      <w:r>
        <w:rPr>
          <w:rFonts w:hint="eastAsia"/>
          <w:bCs/>
          <w:color w:val="auto"/>
          <w:sz w:val="24"/>
          <w:lang w:val="en-US" w:eastAsia="zh-CN"/>
        </w:rPr>
        <w:t>5、</w:t>
      </w:r>
      <w:r>
        <w:rPr>
          <w:rFonts w:hint="eastAsia"/>
          <w:bCs/>
          <w:color w:val="auto"/>
          <w:sz w:val="24"/>
        </w:rPr>
        <w:t>单位财务核算平台实施及运维方案</w:t>
      </w:r>
    </w:p>
    <w:p w14:paraId="7CBEF6B1">
      <w:pPr>
        <w:spacing w:line="440" w:lineRule="exact"/>
        <w:ind w:firstLine="480"/>
        <w:rPr>
          <w:rFonts w:hint="eastAsia"/>
          <w:bCs/>
          <w:color w:val="auto"/>
          <w:sz w:val="24"/>
        </w:rPr>
      </w:pPr>
      <w:r>
        <w:rPr>
          <w:rFonts w:hint="eastAsia"/>
          <w:bCs/>
          <w:color w:val="auto"/>
          <w:sz w:val="24"/>
          <w:lang w:val="en-US" w:eastAsia="zh-CN"/>
        </w:rPr>
        <w:t>6</w:t>
      </w:r>
      <w:r>
        <w:rPr>
          <w:rFonts w:hint="eastAsia"/>
          <w:bCs/>
          <w:color w:val="auto"/>
          <w:sz w:val="24"/>
        </w:rPr>
        <w:t>、常熟地区一体化实施及运维方案；</w:t>
      </w:r>
    </w:p>
    <w:p w14:paraId="450AE268">
      <w:pPr>
        <w:spacing w:line="440" w:lineRule="exact"/>
        <w:ind w:firstLine="480"/>
        <w:rPr>
          <w:rFonts w:hint="eastAsia"/>
          <w:bCs/>
          <w:color w:val="auto"/>
          <w:sz w:val="24"/>
          <w:lang w:val="zh-CN"/>
        </w:rPr>
      </w:pPr>
      <w:r>
        <w:rPr>
          <w:rFonts w:hint="eastAsia"/>
          <w:bCs/>
          <w:color w:val="auto"/>
          <w:sz w:val="24"/>
          <w:lang w:val="en-US" w:eastAsia="zh-CN"/>
        </w:rPr>
        <w:t>7</w:t>
      </w:r>
      <w:r>
        <w:rPr>
          <w:rFonts w:hint="eastAsia"/>
          <w:bCs/>
          <w:color w:val="auto"/>
          <w:sz w:val="24"/>
        </w:rPr>
        <w:t>、质量保证方案</w:t>
      </w:r>
      <w:r>
        <w:rPr>
          <w:rFonts w:hint="eastAsia"/>
          <w:bCs/>
          <w:color w:val="auto"/>
          <w:sz w:val="24"/>
          <w:lang w:val="zh-CN"/>
        </w:rPr>
        <w:t>；</w:t>
      </w:r>
    </w:p>
    <w:p w14:paraId="4D9C7E3B">
      <w:pPr>
        <w:spacing w:line="440" w:lineRule="exact"/>
        <w:ind w:firstLine="480"/>
        <w:rPr>
          <w:rFonts w:hint="eastAsia"/>
          <w:bCs/>
          <w:color w:val="auto"/>
          <w:sz w:val="24"/>
        </w:rPr>
      </w:pPr>
      <w:r>
        <w:rPr>
          <w:rFonts w:hint="eastAsia"/>
          <w:bCs/>
          <w:color w:val="auto"/>
          <w:sz w:val="24"/>
          <w:lang w:val="en-US" w:eastAsia="zh-CN"/>
        </w:rPr>
        <w:t>8</w:t>
      </w:r>
      <w:r>
        <w:rPr>
          <w:rFonts w:hint="eastAsia"/>
          <w:bCs/>
          <w:color w:val="auto"/>
          <w:sz w:val="24"/>
        </w:rPr>
        <w:t>、服务管理体系</w:t>
      </w:r>
    </w:p>
    <w:p w14:paraId="07A37E18">
      <w:pPr>
        <w:spacing w:line="440" w:lineRule="exact"/>
        <w:ind w:firstLine="480"/>
        <w:rPr>
          <w:rFonts w:hint="eastAsia"/>
          <w:bCs/>
          <w:color w:val="auto"/>
          <w:sz w:val="24"/>
        </w:rPr>
      </w:pPr>
      <w:r>
        <w:rPr>
          <w:rFonts w:hint="eastAsia"/>
          <w:bCs/>
          <w:color w:val="auto"/>
          <w:sz w:val="24"/>
          <w:lang w:val="en-US" w:eastAsia="zh-CN"/>
        </w:rPr>
        <w:t>9</w:t>
      </w:r>
      <w:r>
        <w:rPr>
          <w:rFonts w:hint="eastAsia"/>
          <w:bCs/>
          <w:color w:val="auto"/>
          <w:sz w:val="24"/>
        </w:rPr>
        <w:t>、现场运维服务方案</w:t>
      </w:r>
    </w:p>
    <w:p w14:paraId="26291E56">
      <w:pPr>
        <w:spacing w:line="440" w:lineRule="exact"/>
        <w:ind w:firstLine="480"/>
        <w:rPr>
          <w:rFonts w:hint="eastAsia"/>
          <w:bCs/>
          <w:color w:val="auto"/>
          <w:sz w:val="24"/>
        </w:rPr>
      </w:pPr>
      <w:r>
        <w:rPr>
          <w:rFonts w:hint="eastAsia"/>
          <w:bCs/>
          <w:color w:val="auto"/>
          <w:sz w:val="24"/>
          <w:lang w:val="en-US" w:eastAsia="zh-CN"/>
        </w:rPr>
        <w:t>10</w:t>
      </w:r>
      <w:r>
        <w:rPr>
          <w:rFonts w:hint="eastAsia"/>
          <w:bCs/>
          <w:color w:val="auto"/>
          <w:sz w:val="24"/>
        </w:rPr>
        <w:t>、安全保障方案</w:t>
      </w:r>
    </w:p>
    <w:p w14:paraId="127D84E3">
      <w:pPr>
        <w:spacing w:line="440" w:lineRule="exact"/>
        <w:ind w:firstLine="480"/>
        <w:rPr>
          <w:rFonts w:hint="eastAsia"/>
          <w:bCs/>
          <w:color w:val="auto"/>
          <w:sz w:val="24"/>
        </w:rPr>
      </w:pPr>
      <w:r>
        <w:rPr>
          <w:rFonts w:hint="eastAsia"/>
          <w:bCs/>
          <w:color w:val="auto"/>
          <w:sz w:val="24"/>
          <w:lang w:val="en-US" w:eastAsia="zh-CN"/>
        </w:rPr>
        <w:t>11</w:t>
      </w:r>
      <w:r>
        <w:rPr>
          <w:rFonts w:hint="eastAsia"/>
          <w:bCs/>
          <w:color w:val="auto"/>
          <w:sz w:val="24"/>
        </w:rPr>
        <w:t>、应急预案</w:t>
      </w:r>
    </w:p>
    <w:p w14:paraId="745FC26B">
      <w:pPr>
        <w:spacing w:line="440" w:lineRule="exact"/>
        <w:ind w:firstLine="480"/>
        <w:rPr>
          <w:rFonts w:hint="eastAsia"/>
          <w:bCs/>
          <w:color w:val="auto"/>
          <w:sz w:val="24"/>
        </w:rPr>
      </w:pPr>
      <w:r>
        <w:rPr>
          <w:rFonts w:hint="eastAsia"/>
          <w:bCs/>
          <w:color w:val="auto"/>
          <w:sz w:val="24"/>
        </w:rPr>
        <w:t>1</w:t>
      </w:r>
      <w:r>
        <w:rPr>
          <w:rFonts w:hint="eastAsia"/>
          <w:bCs/>
          <w:color w:val="auto"/>
          <w:sz w:val="24"/>
          <w:lang w:val="en-US" w:eastAsia="zh-CN"/>
        </w:rPr>
        <w:t>2</w:t>
      </w:r>
      <w:r>
        <w:rPr>
          <w:rFonts w:hint="eastAsia"/>
          <w:bCs/>
          <w:color w:val="auto"/>
          <w:sz w:val="24"/>
        </w:rPr>
        <w:t>、系统培训方案</w:t>
      </w:r>
    </w:p>
    <w:p w14:paraId="18B2676D">
      <w:pPr>
        <w:spacing w:line="440" w:lineRule="exact"/>
        <w:ind w:firstLine="480"/>
        <w:rPr>
          <w:rFonts w:hint="eastAsia"/>
          <w:bCs/>
          <w:color w:val="auto"/>
          <w:sz w:val="24"/>
        </w:rPr>
      </w:pPr>
      <w:r>
        <w:rPr>
          <w:rFonts w:hint="eastAsia"/>
          <w:bCs/>
          <w:color w:val="auto"/>
          <w:sz w:val="24"/>
          <w:lang w:val="en-US" w:eastAsia="zh-CN"/>
        </w:rPr>
        <w:t>13</w:t>
      </w:r>
      <w:r>
        <w:rPr>
          <w:rFonts w:hint="eastAsia"/>
          <w:bCs/>
          <w:color w:val="auto"/>
          <w:sz w:val="24"/>
        </w:rPr>
        <w:t>、其他说明（具体包括但不限于供应商情况说明等）。</w:t>
      </w:r>
    </w:p>
    <w:p w14:paraId="0F369173">
      <w:pPr>
        <w:spacing w:line="440" w:lineRule="exact"/>
        <w:ind w:firstLine="480"/>
        <w:rPr>
          <w:rFonts w:hint="eastAsia"/>
          <w:bCs/>
          <w:color w:val="auto"/>
          <w:sz w:val="24"/>
        </w:rPr>
      </w:pPr>
    </w:p>
    <w:p w14:paraId="3B769BE1">
      <w:pPr>
        <w:pStyle w:val="3"/>
        <w:rPr>
          <w:rFonts w:ascii="Times New Roman" w:hAnsi="Times New Roman"/>
          <w:color w:val="auto"/>
        </w:rPr>
      </w:pPr>
    </w:p>
    <w:p w14:paraId="5046DBEE">
      <w:pPr>
        <w:pStyle w:val="5"/>
        <w:rPr>
          <w:color w:val="auto"/>
        </w:rPr>
      </w:pPr>
      <w:bookmarkStart w:id="209" w:name="_Toc341427249"/>
      <w:bookmarkStart w:id="210" w:name="_Toc345248158"/>
      <w:bookmarkStart w:id="211" w:name="_Toc26670"/>
      <w:bookmarkStart w:id="212" w:name="_Toc447796831"/>
      <w:bookmarkStart w:id="213" w:name="_Toc25179"/>
      <w:bookmarkStart w:id="214" w:name="_Toc414881347"/>
      <w:r>
        <w:rPr>
          <w:color w:val="auto"/>
        </w:rPr>
        <w:br w:type="page" w:clear="all"/>
      </w:r>
      <w:bookmarkStart w:id="215" w:name="_Toc17108"/>
      <w:bookmarkStart w:id="216" w:name="_Toc29027"/>
      <w:bookmarkStart w:id="217" w:name="_Toc17022"/>
      <w:r>
        <w:rPr>
          <w:rFonts w:hint="eastAsia"/>
          <w:color w:val="auto"/>
        </w:rPr>
        <w:t xml:space="preserve">附件14 </w:t>
      </w:r>
      <w:r>
        <w:rPr>
          <w:color w:val="auto"/>
        </w:rPr>
        <w:t>业绩一览表</w:t>
      </w:r>
      <w:bookmarkEnd w:id="209"/>
      <w:bookmarkEnd w:id="210"/>
      <w:bookmarkEnd w:id="211"/>
      <w:bookmarkEnd w:id="212"/>
      <w:bookmarkEnd w:id="213"/>
      <w:bookmarkEnd w:id="214"/>
      <w:bookmarkEnd w:id="215"/>
      <w:bookmarkEnd w:id="216"/>
      <w:bookmarkEnd w:id="217"/>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2188"/>
        <w:gridCol w:w="1932"/>
        <w:gridCol w:w="1476"/>
        <w:gridCol w:w="2358"/>
        <w:gridCol w:w="987"/>
      </w:tblGrid>
      <w:tr w14:paraId="25DB0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78" w:type="dxa"/>
            <w:vAlign w:val="center"/>
          </w:tcPr>
          <w:p w14:paraId="49702775">
            <w:pPr>
              <w:pStyle w:val="21"/>
              <w:jc w:val="center"/>
              <w:rPr>
                <w:rFonts w:ascii="Times New Roman" w:hAnsi="Times New Roman" w:eastAsia="宋体"/>
                <w:b/>
                <w:color w:val="auto"/>
                <w:sz w:val="24"/>
              </w:rPr>
            </w:pPr>
            <w:r>
              <w:rPr>
                <w:rFonts w:ascii="Times New Roman" w:hAnsi="Times New Roman" w:eastAsia="宋体"/>
                <w:b/>
                <w:color w:val="auto"/>
                <w:sz w:val="24"/>
              </w:rPr>
              <w:t>序号</w:t>
            </w:r>
          </w:p>
        </w:tc>
        <w:tc>
          <w:tcPr>
            <w:tcW w:w="2188" w:type="dxa"/>
            <w:vAlign w:val="center"/>
          </w:tcPr>
          <w:p w14:paraId="6EA67FDA">
            <w:pPr>
              <w:jc w:val="center"/>
              <w:rPr>
                <w:b/>
                <w:bCs/>
                <w:color w:val="auto"/>
                <w:sz w:val="24"/>
                <w:szCs w:val="24"/>
              </w:rPr>
            </w:pPr>
            <w:r>
              <w:rPr>
                <w:b/>
                <w:bCs/>
                <w:color w:val="auto"/>
                <w:sz w:val="24"/>
                <w:szCs w:val="24"/>
              </w:rPr>
              <w:t>项目名称</w:t>
            </w:r>
          </w:p>
        </w:tc>
        <w:tc>
          <w:tcPr>
            <w:tcW w:w="1932" w:type="dxa"/>
            <w:vAlign w:val="center"/>
          </w:tcPr>
          <w:p w14:paraId="0483D1EC">
            <w:pPr>
              <w:jc w:val="center"/>
              <w:rPr>
                <w:b/>
                <w:bCs/>
                <w:color w:val="auto"/>
                <w:sz w:val="24"/>
                <w:szCs w:val="24"/>
              </w:rPr>
            </w:pPr>
            <w:r>
              <w:rPr>
                <w:b/>
                <w:bCs/>
                <w:color w:val="auto"/>
                <w:sz w:val="24"/>
                <w:szCs w:val="24"/>
              </w:rPr>
              <w:t>合同金额</w:t>
            </w:r>
          </w:p>
        </w:tc>
        <w:tc>
          <w:tcPr>
            <w:tcW w:w="1476" w:type="dxa"/>
            <w:vAlign w:val="center"/>
          </w:tcPr>
          <w:p w14:paraId="50190ACC">
            <w:pPr>
              <w:jc w:val="center"/>
              <w:rPr>
                <w:b/>
                <w:bCs/>
                <w:color w:val="auto"/>
                <w:sz w:val="24"/>
                <w:szCs w:val="24"/>
              </w:rPr>
            </w:pPr>
            <w:r>
              <w:rPr>
                <w:b/>
                <w:bCs/>
                <w:color w:val="auto"/>
                <w:sz w:val="24"/>
                <w:szCs w:val="24"/>
              </w:rPr>
              <w:t>实施时间</w:t>
            </w:r>
          </w:p>
        </w:tc>
        <w:tc>
          <w:tcPr>
            <w:tcW w:w="2358" w:type="dxa"/>
            <w:vAlign w:val="center"/>
          </w:tcPr>
          <w:p w14:paraId="6BC0198F">
            <w:pPr>
              <w:jc w:val="center"/>
              <w:rPr>
                <w:b/>
                <w:bCs/>
                <w:color w:val="auto"/>
                <w:sz w:val="24"/>
                <w:szCs w:val="24"/>
              </w:rPr>
            </w:pPr>
            <w:r>
              <w:rPr>
                <w:b/>
                <w:bCs/>
                <w:color w:val="auto"/>
                <w:sz w:val="24"/>
                <w:szCs w:val="24"/>
              </w:rPr>
              <w:t>业主联系人及电话</w:t>
            </w:r>
          </w:p>
        </w:tc>
        <w:tc>
          <w:tcPr>
            <w:tcW w:w="987" w:type="dxa"/>
            <w:vAlign w:val="center"/>
          </w:tcPr>
          <w:p w14:paraId="43A180E7">
            <w:pPr>
              <w:jc w:val="center"/>
              <w:rPr>
                <w:b/>
                <w:bCs/>
                <w:color w:val="auto"/>
                <w:sz w:val="24"/>
                <w:szCs w:val="24"/>
              </w:rPr>
            </w:pPr>
            <w:r>
              <w:rPr>
                <w:b/>
                <w:bCs/>
                <w:color w:val="auto"/>
                <w:sz w:val="24"/>
                <w:szCs w:val="24"/>
              </w:rPr>
              <w:t>备注</w:t>
            </w:r>
          </w:p>
        </w:tc>
      </w:tr>
      <w:tr w14:paraId="7F02E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78" w:type="dxa"/>
            <w:vAlign w:val="center"/>
          </w:tcPr>
          <w:p w14:paraId="5E53C8A5">
            <w:pPr>
              <w:pStyle w:val="21"/>
              <w:spacing w:line="500" w:lineRule="exact"/>
              <w:jc w:val="center"/>
              <w:rPr>
                <w:rFonts w:ascii="Times New Roman" w:hAnsi="Times New Roman" w:eastAsia="宋体"/>
                <w:color w:val="auto"/>
                <w:sz w:val="24"/>
              </w:rPr>
            </w:pPr>
            <w:r>
              <w:rPr>
                <w:rFonts w:ascii="Times New Roman" w:hAnsi="Times New Roman" w:eastAsia="宋体"/>
                <w:color w:val="auto"/>
                <w:sz w:val="24"/>
              </w:rPr>
              <w:t>1</w:t>
            </w:r>
          </w:p>
        </w:tc>
        <w:tc>
          <w:tcPr>
            <w:tcW w:w="2188" w:type="dxa"/>
            <w:vAlign w:val="center"/>
          </w:tcPr>
          <w:p w14:paraId="4F45472B">
            <w:pPr>
              <w:pStyle w:val="21"/>
              <w:spacing w:line="500" w:lineRule="exact"/>
              <w:ind w:firstLine="600"/>
              <w:jc w:val="center"/>
              <w:rPr>
                <w:rFonts w:ascii="Times New Roman" w:hAnsi="Times New Roman" w:eastAsia="宋体"/>
                <w:color w:val="auto"/>
                <w:sz w:val="24"/>
              </w:rPr>
            </w:pPr>
          </w:p>
        </w:tc>
        <w:tc>
          <w:tcPr>
            <w:tcW w:w="1932" w:type="dxa"/>
            <w:vAlign w:val="center"/>
          </w:tcPr>
          <w:p w14:paraId="2FC825AC">
            <w:pPr>
              <w:pStyle w:val="21"/>
              <w:spacing w:line="500" w:lineRule="exact"/>
              <w:ind w:firstLine="600"/>
              <w:jc w:val="center"/>
              <w:rPr>
                <w:rFonts w:ascii="Times New Roman" w:hAnsi="Times New Roman" w:eastAsia="宋体"/>
                <w:color w:val="auto"/>
                <w:sz w:val="24"/>
              </w:rPr>
            </w:pPr>
          </w:p>
        </w:tc>
        <w:tc>
          <w:tcPr>
            <w:tcW w:w="1476" w:type="dxa"/>
            <w:vAlign w:val="center"/>
          </w:tcPr>
          <w:p w14:paraId="2C5A044A">
            <w:pPr>
              <w:pStyle w:val="21"/>
              <w:spacing w:line="500" w:lineRule="exact"/>
              <w:ind w:firstLine="600"/>
              <w:jc w:val="center"/>
              <w:rPr>
                <w:rFonts w:ascii="Times New Roman" w:hAnsi="Times New Roman" w:eastAsia="宋体"/>
                <w:color w:val="auto"/>
                <w:sz w:val="24"/>
              </w:rPr>
            </w:pPr>
          </w:p>
        </w:tc>
        <w:tc>
          <w:tcPr>
            <w:tcW w:w="2358" w:type="dxa"/>
            <w:vAlign w:val="center"/>
          </w:tcPr>
          <w:p w14:paraId="14634554">
            <w:pPr>
              <w:pStyle w:val="21"/>
              <w:spacing w:line="500" w:lineRule="exact"/>
              <w:ind w:firstLine="600"/>
              <w:jc w:val="center"/>
              <w:rPr>
                <w:rFonts w:ascii="Times New Roman" w:hAnsi="Times New Roman" w:eastAsia="宋体"/>
                <w:color w:val="auto"/>
                <w:sz w:val="24"/>
              </w:rPr>
            </w:pPr>
          </w:p>
        </w:tc>
        <w:tc>
          <w:tcPr>
            <w:tcW w:w="987" w:type="dxa"/>
            <w:vAlign w:val="center"/>
          </w:tcPr>
          <w:p w14:paraId="3F677511">
            <w:pPr>
              <w:pStyle w:val="21"/>
              <w:spacing w:line="500" w:lineRule="exact"/>
              <w:ind w:firstLine="600"/>
              <w:jc w:val="center"/>
              <w:rPr>
                <w:rFonts w:ascii="Times New Roman" w:hAnsi="Times New Roman" w:eastAsia="宋体"/>
                <w:color w:val="auto"/>
                <w:sz w:val="24"/>
              </w:rPr>
            </w:pPr>
          </w:p>
        </w:tc>
      </w:tr>
      <w:tr w14:paraId="4DCDF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78" w:type="dxa"/>
            <w:vAlign w:val="center"/>
          </w:tcPr>
          <w:p w14:paraId="2D627641">
            <w:pPr>
              <w:pStyle w:val="21"/>
              <w:spacing w:line="500" w:lineRule="exact"/>
              <w:jc w:val="center"/>
              <w:rPr>
                <w:rFonts w:ascii="Times New Roman" w:hAnsi="Times New Roman" w:eastAsia="宋体"/>
                <w:color w:val="auto"/>
                <w:sz w:val="24"/>
              </w:rPr>
            </w:pPr>
            <w:r>
              <w:rPr>
                <w:rFonts w:ascii="Times New Roman" w:hAnsi="Times New Roman" w:eastAsia="宋体"/>
                <w:color w:val="auto"/>
                <w:sz w:val="24"/>
              </w:rPr>
              <w:t>2</w:t>
            </w:r>
          </w:p>
        </w:tc>
        <w:tc>
          <w:tcPr>
            <w:tcW w:w="2188" w:type="dxa"/>
            <w:vAlign w:val="center"/>
          </w:tcPr>
          <w:p w14:paraId="355F7933">
            <w:pPr>
              <w:pStyle w:val="21"/>
              <w:spacing w:line="500" w:lineRule="exact"/>
              <w:ind w:firstLine="600"/>
              <w:jc w:val="center"/>
              <w:rPr>
                <w:rFonts w:ascii="Times New Roman" w:hAnsi="Times New Roman" w:eastAsia="宋体"/>
                <w:color w:val="auto"/>
                <w:sz w:val="24"/>
              </w:rPr>
            </w:pPr>
          </w:p>
        </w:tc>
        <w:tc>
          <w:tcPr>
            <w:tcW w:w="1932" w:type="dxa"/>
            <w:vAlign w:val="center"/>
          </w:tcPr>
          <w:p w14:paraId="2AB96E59">
            <w:pPr>
              <w:pStyle w:val="21"/>
              <w:spacing w:line="500" w:lineRule="exact"/>
              <w:ind w:firstLine="600"/>
              <w:jc w:val="center"/>
              <w:rPr>
                <w:rFonts w:ascii="Times New Roman" w:hAnsi="Times New Roman" w:eastAsia="宋体"/>
                <w:color w:val="auto"/>
                <w:sz w:val="24"/>
              </w:rPr>
            </w:pPr>
          </w:p>
        </w:tc>
        <w:tc>
          <w:tcPr>
            <w:tcW w:w="1476" w:type="dxa"/>
            <w:vAlign w:val="center"/>
          </w:tcPr>
          <w:p w14:paraId="26CB177D">
            <w:pPr>
              <w:pStyle w:val="21"/>
              <w:spacing w:line="500" w:lineRule="exact"/>
              <w:ind w:firstLine="600"/>
              <w:jc w:val="center"/>
              <w:rPr>
                <w:rFonts w:ascii="Times New Roman" w:hAnsi="Times New Roman" w:eastAsia="宋体"/>
                <w:color w:val="auto"/>
                <w:sz w:val="24"/>
              </w:rPr>
            </w:pPr>
          </w:p>
        </w:tc>
        <w:tc>
          <w:tcPr>
            <w:tcW w:w="2358" w:type="dxa"/>
            <w:vAlign w:val="center"/>
          </w:tcPr>
          <w:p w14:paraId="5850D101">
            <w:pPr>
              <w:pStyle w:val="21"/>
              <w:spacing w:line="500" w:lineRule="exact"/>
              <w:ind w:firstLine="600"/>
              <w:jc w:val="center"/>
              <w:rPr>
                <w:rFonts w:ascii="Times New Roman" w:hAnsi="Times New Roman" w:eastAsia="宋体"/>
                <w:color w:val="auto"/>
                <w:sz w:val="24"/>
              </w:rPr>
            </w:pPr>
          </w:p>
        </w:tc>
        <w:tc>
          <w:tcPr>
            <w:tcW w:w="987" w:type="dxa"/>
            <w:vAlign w:val="center"/>
          </w:tcPr>
          <w:p w14:paraId="2F6EEEDA">
            <w:pPr>
              <w:pStyle w:val="21"/>
              <w:spacing w:line="500" w:lineRule="exact"/>
              <w:ind w:firstLine="600"/>
              <w:jc w:val="center"/>
              <w:rPr>
                <w:rFonts w:ascii="Times New Roman" w:hAnsi="Times New Roman" w:eastAsia="宋体"/>
                <w:color w:val="auto"/>
                <w:sz w:val="24"/>
              </w:rPr>
            </w:pPr>
          </w:p>
        </w:tc>
      </w:tr>
      <w:tr w14:paraId="43434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78" w:type="dxa"/>
            <w:vAlign w:val="center"/>
          </w:tcPr>
          <w:p w14:paraId="70E5484B">
            <w:pPr>
              <w:pStyle w:val="21"/>
              <w:spacing w:line="500" w:lineRule="exact"/>
              <w:jc w:val="center"/>
              <w:rPr>
                <w:rFonts w:ascii="Times New Roman" w:hAnsi="Times New Roman" w:eastAsia="宋体"/>
                <w:color w:val="auto"/>
                <w:sz w:val="24"/>
              </w:rPr>
            </w:pPr>
            <w:r>
              <w:rPr>
                <w:rFonts w:ascii="Times New Roman" w:hAnsi="Times New Roman" w:eastAsia="宋体"/>
                <w:color w:val="auto"/>
                <w:sz w:val="24"/>
              </w:rPr>
              <w:t>3</w:t>
            </w:r>
          </w:p>
        </w:tc>
        <w:tc>
          <w:tcPr>
            <w:tcW w:w="2188" w:type="dxa"/>
            <w:vAlign w:val="center"/>
          </w:tcPr>
          <w:p w14:paraId="27136214">
            <w:pPr>
              <w:pStyle w:val="21"/>
              <w:spacing w:line="500" w:lineRule="exact"/>
              <w:ind w:firstLine="600"/>
              <w:jc w:val="center"/>
              <w:rPr>
                <w:rFonts w:ascii="Times New Roman" w:hAnsi="Times New Roman" w:eastAsia="宋体"/>
                <w:color w:val="auto"/>
                <w:sz w:val="24"/>
              </w:rPr>
            </w:pPr>
          </w:p>
        </w:tc>
        <w:tc>
          <w:tcPr>
            <w:tcW w:w="1932" w:type="dxa"/>
            <w:vAlign w:val="center"/>
          </w:tcPr>
          <w:p w14:paraId="2DA6646C">
            <w:pPr>
              <w:pStyle w:val="21"/>
              <w:spacing w:line="500" w:lineRule="exact"/>
              <w:ind w:firstLine="600"/>
              <w:jc w:val="center"/>
              <w:rPr>
                <w:rFonts w:ascii="Times New Roman" w:hAnsi="Times New Roman" w:eastAsia="宋体"/>
                <w:color w:val="auto"/>
                <w:sz w:val="24"/>
              </w:rPr>
            </w:pPr>
          </w:p>
        </w:tc>
        <w:tc>
          <w:tcPr>
            <w:tcW w:w="1476" w:type="dxa"/>
            <w:vAlign w:val="center"/>
          </w:tcPr>
          <w:p w14:paraId="63673DD4">
            <w:pPr>
              <w:pStyle w:val="21"/>
              <w:spacing w:line="500" w:lineRule="exact"/>
              <w:ind w:firstLine="600"/>
              <w:jc w:val="center"/>
              <w:rPr>
                <w:rFonts w:ascii="Times New Roman" w:hAnsi="Times New Roman" w:eastAsia="宋体"/>
                <w:color w:val="auto"/>
                <w:sz w:val="24"/>
              </w:rPr>
            </w:pPr>
          </w:p>
        </w:tc>
        <w:tc>
          <w:tcPr>
            <w:tcW w:w="2358" w:type="dxa"/>
            <w:vAlign w:val="center"/>
          </w:tcPr>
          <w:p w14:paraId="0ABBC982">
            <w:pPr>
              <w:pStyle w:val="21"/>
              <w:spacing w:line="500" w:lineRule="exact"/>
              <w:ind w:firstLine="600"/>
              <w:jc w:val="center"/>
              <w:rPr>
                <w:rFonts w:ascii="Times New Roman" w:hAnsi="Times New Roman" w:eastAsia="宋体"/>
                <w:color w:val="auto"/>
                <w:sz w:val="24"/>
              </w:rPr>
            </w:pPr>
          </w:p>
        </w:tc>
        <w:tc>
          <w:tcPr>
            <w:tcW w:w="987" w:type="dxa"/>
            <w:vAlign w:val="center"/>
          </w:tcPr>
          <w:p w14:paraId="612E2B62">
            <w:pPr>
              <w:pStyle w:val="21"/>
              <w:spacing w:line="500" w:lineRule="exact"/>
              <w:ind w:firstLine="600"/>
              <w:jc w:val="center"/>
              <w:rPr>
                <w:rFonts w:ascii="Times New Roman" w:hAnsi="Times New Roman" w:eastAsia="宋体"/>
                <w:color w:val="auto"/>
                <w:sz w:val="24"/>
              </w:rPr>
            </w:pPr>
          </w:p>
        </w:tc>
      </w:tr>
      <w:tr w14:paraId="3D058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78" w:type="dxa"/>
            <w:vAlign w:val="center"/>
          </w:tcPr>
          <w:p w14:paraId="060B1F58">
            <w:pPr>
              <w:pStyle w:val="21"/>
              <w:spacing w:line="500" w:lineRule="exact"/>
              <w:jc w:val="center"/>
              <w:rPr>
                <w:rFonts w:ascii="Times New Roman" w:hAnsi="Times New Roman" w:eastAsia="宋体"/>
                <w:color w:val="auto"/>
                <w:sz w:val="24"/>
              </w:rPr>
            </w:pPr>
            <w:r>
              <w:rPr>
                <w:rFonts w:ascii="Times New Roman" w:hAnsi="Times New Roman" w:eastAsia="宋体"/>
                <w:color w:val="auto"/>
                <w:sz w:val="24"/>
              </w:rPr>
              <w:t>4</w:t>
            </w:r>
          </w:p>
        </w:tc>
        <w:tc>
          <w:tcPr>
            <w:tcW w:w="2188" w:type="dxa"/>
            <w:vAlign w:val="center"/>
          </w:tcPr>
          <w:p w14:paraId="73BE179B">
            <w:pPr>
              <w:pStyle w:val="21"/>
              <w:spacing w:line="500" w:lineRule="exact"/>
              <w:ind w:firstLine="600"/>
              <w:jc w:val="center"/>
              <w:rPr>
                <w:rFonts w:ascii="Times New Roman" w:hAnsi="Times New Roman" w:eastAsia="宋体"/>
                <w:color w:val="auto"/>
                <w:sz w:val="24"/>
              </w:rPr>
            </w:pPr>
          </w:p>
        </w:tc>
        <w:tc>
          <w:tcPr>
            <w:tcW w:w="1932" w:type="dxa"/>
            <w:vAlign w:val="center"/>
          </w:tcPr>
          <w:p w14:paraId="5E9C8EB1">
            <w:pPr>
              <w:pStyle w:val="21"/>
              <w:spacing w:line="500" w:lineRule="exact"/>
              <w:ind w:firstLine="600"/>
              <w:jc w:val="center"/>
              <w:rPr>
                <w:rFonts w:ascii="Times New Roman" w:hAnsi="Times New Roman" w:eastAsia="宋体"/>
                <w:color w:val="auto"/>
                <w:sz w:val="24"/>
              </w:rPr>
            </w:pPr>
          </w:p>
        </w:tc>
        <w:tc>
          <w:tcPr>
            <w:tcW w:w="1476" w:type="dxa"/>
            <w:vAlign w:val="center"/>
          </w:tcPr>
          <w:p w14:paraId="371B0008">
            <w:pPr>
              <w:pStyle w:val="21"/>
              <w:spacing w:line="500" w:lineRule="exact"/>
              <w:ind w:firstLine="600"/>
              <w:jc w:val="center"/>
              <w:rPr>
                <w:rFonts w:ascii="Times New Roman" w:hAnsi="Times New Roman" w:eastAsia="宋体"/>
                <w:color w:val="auto"/>
                <w:sz w:val="24"/>
              </w:rPr>
            </w:pPr>
          </w:p>
        </w:tc>
        <w:tc>
          <w:tcPr>
            <w:tcW w:w="2358" w:type="dxa"/>
            <w:vAlign w:val="center"/>
          </w:tcPr>
          <w:p w14:paraId="21DD03AE">
            <w:pPr>
              <w:pStyle w:val="21"/>
              <w:spacing w:line="500" w:lineRule="exact"/>
              <w:ind w:firstLine="600"/>
              <w:jc w:val="center"/>
              <w:rPr>
                <w:rFonts w:ascii="Times New Roman" w:hAnsi="Times New Roman" w:eastAsia="宋体"/>
                <w:color w:val="auto"/>
                <w:sz w:val="24"/>
              </w:rPr>
            </w:pPr>
          </w:p>
        </w:tc>
        <w:tc>
          <w:tcPr>
            <w:tcW w:w="987" w:type="dxa"/>
            <w:vAlign w:val="center"/>
          </w:tcPr>
          <w:p w14:paraId="36E2FCB5">
            <w:pPr>
              <w:pStyle w:val="21"/>
              <w:spacing w:line="500" w:lineRule="exact"/>
              <w:ind w:firstLine="600"/>
              <w:jc w:val="center"/>
              <w:rPr>
                <w:rFonts w:ascii="Times New Roman" w:hAnsi="Times New Roman" w:eastAsia="宋体"/>
                <w:color w:val="auto"/>
                <w:sz w:val="24"/>
              </w:rPr>
            </w:pPr>
          </w:p>
        </w:tc>
      </w:tr>
      <w:tr w14:paraId="17C30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78" w:type="dxa"/>
            <w:vAlign w:val="center"/>
          </w:tcPr>
          <w:p w14:paraId="17CECACC">
            <w:pPr>
              <w:pStyle w:val="21"/>
              <w:spacing w:line="500" w:lineRule="exact"/>
              <w:jc w:val="center"/>
              <w:rPr>
                <w:rFonts w:ascii="Times New Roman" w:hAnsi="Times New Roman" w:eastAsia="宋体"/>
                <w:color w:val="auto"/>
                <w:sz w:val="24"/>
              </w:rPr>
            </w:pPr>
            <w:r>
              <w:rPr>
                <w:rFonts w:ascii="Times New Roman" w:hAnsi="Times New Roman" w:eastAsia="宋体"/>
                <w:color w:val="auto"/>
                <w:sz w:val="24"/>
              </w:rPr>
              <w:t>5</w:t>
            </w:r>
          </w:p>
        </w:tc>
        <w:tc>
          <w:tcPr>
            <w:tcW w:w="2188" w:type="dxa"/>
            <w:vAlign w:val="center"/>
          </w:tcPr>
          <w:p w14:paraId="7346C3FB">
            <w:pPr>
              <w:pStyle w:val="21"/>
              <w:spacing w:line="500" w:lineRule="exact"/>
              <w:ind w:firstLine="600"/>
              <w:jc w:val="center"/>
              <w:rPr>
                <w:rFonts w:ascii="Times New Roman" w:hAnsi="Times New Roman" w:eastAsia="宋体"/>
                <w:color w:val="auto"/>
                <w:sz w:val="24"/>
              </w:rPr>
            </w:pPr>
          </w:p>
        </w:tc>
        <w:tc>
          <w:tcPr>
            <w:tcW w:w="1932" w:type="dxa"/>
            <w:vAlign w:val="center"/>
          </w:tcPr>
          <w:p w14:paraId="7CD96625">
            <w:pPr>
              <w:pStyle w:val="21"/>
              <w:spacing w:line="500" w:lineRule="exact"/>
              <w:ind w:firstLine="600"/>
              <w:jc w:val="center"/>
              <w:rPr>
                <w:rFonts w:ascii="Times New Roman" w:hAnsi="Times New Roman" w:eastAsia="宋体"/>
                <w:color w:val="auto"/>
                <w:sz w:val="24"/>
              </w:rPr>
            </w:pPr>
          </w:p>
        </w:tc>
        <w:tc>
          <w:tcPr>
            <w:tcW w:w="1476" w:type="dxa"/>
            <w:vAlign w:val="center"/>
          </w:tcPr>
          <w:p w14:paraId="3B30A449">
            <w:pPr>
              <w:pStyle w:val="21"/>
              <w:spacing w:line="500" w:lineRule="exact"/>
              <w:ind w:firstLine="600"/>
              <w:jc w:val="center"/>
              <w:rPr>
                <w:rFonts w:ascii="Times New Roman" w:hAnsi="Times New Roman" w:eastAsia="宋体"/>
                <w:color w:val="auto"/>
                <w:sz w:val="24"/>
              </w:rPr>
            </w:pPr>
          </w:p>
        </w:tc>
        <w:tc>
          <w:tcPr>
            <w:tcW w:w="2358" w:type="dxa"/>
            <w:vAlign w:val="center"/>
          </w:tcPr>
          <w:p w14:paraId="541B4E53">
            <w:pPr>
              <w:pStyle w:val="21"/>
              <w:spacing w:line="500" w:lineRule="exact"/>
              <w:ind w:firstLine="600"/>
              <w:jc w:val="center"/>
              <w:rPr>
                <w:rFonts w:ascii="Times New Roman" w:hAnsi="Times New Roman" w:eastAsia="宋体"/>
                <w:color w:val="auto"/>
                <w:sz w:val="24"/>
              </w:rPr>
            </w:pPr>
          </w:p>
        </w:tc>
        <w:tc>
          <w:tcPr>
            <w:tcW w:w="987" w:type="dxa"/>
            <w:vAlign w:val="center"/>
          </w:tcPr>
          <w:p w14:paraId="36989CC5">
            <w:pPr>
              <w:pStyle w:val="21"/>
              <w:spacing w:line="500" w:lineRule="exact"/>
              <w:ind w:firstLine="600"/>
              <w:jc w:val="center"/>
              <w:rPr>
                <w:rFonts w:ascii="Times New Roman" w:hAnsi="Times New Roman" w:eastAsia="宋体"/>
                <w:color w:val="auto"/>
                <w:sz w:val="24"/>
              </w:rPr>
            </w:pPr>
          </w:p>
        </w:tc>
      </w:tr>
      <w:tr w14:paraId="54B91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78" w:type="dxa"/>
            <w:vAlign w:val="center"/>
          </w:tcPr>
          <w:p w14:paraId="3076E802">
            <w:pPr>
              <w:pStyle w:val="21"/>
              <w:spacing w:line="500" w:lineRule="exact"/>
              <w:jc w:val="center"/>
              <w:rPr>
                <w:rFonts w:ascii="Times New Roman" w:hAnsi="Times New Roman" w:eastAsia="宋体"/>
                <w:color w:val="auto"/>
                <w:sz w:val="24"/>
              </w:rPr>
            </w:pPr>
            <w:r>
              <w:rPr>
                <w:rFonts w:hint="eastAsia" w:ascii="Times New Roman" w:hAnsi="Times New Roman" w:eastAsia="宋体" w:cs="宋体"/>
                <w:color w:val="auto"/>
                <w:sz w:val="24"/>
              </w:rPr>
              <w:t>……</w:t>
            </w:r>
          </w:p>
        </w:tc>
        <w:tc>
          <w:tcPr>
            <w:tcW w:w="2188" w:type="dxa"/>
            <w:vAlign w:val="center"/>
          </w:tcPr>
          <w:p w14:paraId="5CAF52D7">
            <w:pPr>
              <w:pStyle w:val="21"/>
              <w:spacing w:line="500" w:lineRule="exact"/>
              <w:ind w:firstLine="600"/>
              <w:jc w:val="center"/>
              <w:rPr>
                <w:rFonts w:ascii="Times New Roman" w:hAnsi="Times New Roman" w:eastAsia="宋体"/>
                <w:color w:val="auto"/>
                <w:sz w:val="24"/>
              </w:rPr>
            </w:pPr>
          </w:p>
        </w:tc>
        <w:tc>
          <w:tcPr>
            <w:tcW w:w="1932" w:type="dxa"/>
            <w:vAlign w:val="center"/>
          </w:tcPr>
          <w:p w14:paraId="4D09F233">
            <w:pPr>
              <w:pStyle w:val="21"/>
              <w:spacing w:line="500" w:lineRule="exact"/>
              <w:ind w:firstLine="600"/>
              <w:jc w:val="center"/>
              <w:rPr>
                <w:rFonts w:ascii="Times New Roman" w:hAnsi="Times New Roman" w:eastAsia="宋体"/>
                <w:color w:val="auto"/>
                <w:sz w:val="24"/>
              </w:rPr>
            </w:pPr>
          </w:p>
        </w:tc>
        <w:tc>
          <w:tcPr>
            <w:tcW w:w="1476" w:type="dxa"/>
            <w:vAlign w:val="center"/>
          </w:tcPr>
          <w:p w14:paraId="119D5E2E">
            <w:pPr>
              <w:pStyle w:val="21"/>
              <w:spacing w:line="500" w:lineRule="exact"/>
              <w:ind w:firstLine="600"/>
              <w:jc w:val="center"/>
              <w:rPr>
                <w:rFonts w:ascii="Times New Roman" w:hAnsi="Times New Roman" w:eastAsia="宋体"/>
                <w:color w:val="auto"/>
                <w:sz w:val="24"/>
              </w:rPr>
            </w:pPr>
          </w:p>
        </w:tc>
        <w:tc>
          <w:tcPr>
            <w:tcW w:w="2358" w:type="dxa"/>
            <w:vAlign w:val="center"/>
          </w:tcPr>
          <w:p w14:paraId="5D32C168">
            <w:pPr>
              <w:pStyle w:val="21"/>
              <w:spacing w:line="500" w:lineRule="exact"/>
              <w:ind w:firstLine="600"/>
              <w:jc w:val="center"/>
              <w:rPr>
                <w:rFonts w:ascii="Times New Roman" w:hAnsi="Times New Roman" w:eastAsia="宋体"/>
                <w:color w:val="auto"/>
                <w:sz w:val="24"/>
              </w:rPr>
            </w:pPr>
          </w:p>
        </w:tc>
        <w:tc>
          <w:tcPr>
            <w:tcW w:w="987" w:type="dxa"/>
            <w:vAlign w:val="center"/>
          </w:tcPr>
          <w:p w14:paraId="7F32A38B">
            <w:pPr>
              <w:pStyle w:val="21"/>
              <w:spacing w:line="500" w:lineRule="exact"/>
              <w:ind w:firstLine="600"/>
              <w:jc w:val="center"/>
              <w:rPr>
                <w:rFonts w:ascii="Times New Roman" w:hAnsi="Times New Roman" w:eastAsia="宋体"/>
                <w:color w:val="auto"/>
                <w:sz w:val="24"/>
              </w:rPr>
            </w:pPr>
          </w:p>
        </w:tc>
      </w:tr>
    </w:tbl>
    <w:p w14:paraId="5C21EB41">
      <w:pPr>
        <w:pStyle w:val="21"/>
        <w:spacing w:line="460" w:lineRule="exact"/>
        <w:rPr>
          <w:rFonts w:ascii="Times New Roman" w:hAnsi="Times New Roman" w:eastAsia="宋体"/>
          <w:bCs/>
          <w:color w:val="auto"/>
          <w:sz w:val="24"/>
        </w:rPr>
      </w:pPr>
      <w:r>
        <w:rPr>
          <w:rFonts w:ascii="Times New Roman" w:hAnsi="Times New Roman" w:eastAsia="宋体"/>
          <w:bCs/>
          <w:color w:val="auto"/>
          <w:sz w:val="24"/>
        </w:rPr>
        <w:t>注：1、上述业绩应为供应商</w:t>
      </w:r>
      <w:r>
        <w:rPr>
          <w:rFonts w:hint="eastAsia" w:ascii="Times New Roman" w:hAnsi="Times New Roman" w:eastAsia="宋体"/>
          <w:bCs/>
          <w:color w:val="auto"/>
          <w:sz w:val="24"/>
        </w:rPr>
        <w:t>20</w:t>
      </w:r>
      <w:r>
        <w:rPr>
          <w:rFonts w:ascii="Times New Roman" w:hAnsi="Times New Roman" w:eastAsia="宋体"/>
          <w:bCs/>
          <w:color w:val="auto"/>
          <w:sz w:val="24"/>
        </w:rPr>
        <w:t>20</w:t>
      </w:r>
      <w:r>
        <w:rPr>
          <w:rFonts w:hint="eastAsia" w:ascii="Times New Roman" w:hAnsi="Times New Roman" w:eastAsia="宋体"/>
          <w:bCs/>
          <w:color w:val="auto"/>
          <w:sz w:val="24"/>
        </w:rPr>
        <w:t>年1月1日（以合同签订时间为准）至今实施的相关财政预算管理一体化相关系统建设或运维业绩（需包含预算执行模块）的业绩</w:t>
      </w:r>
      <w:r>
        <w:rPr>
          <w:rFonts w:ascii="Times New Roman" w:hAnsi="Times New Roman" w:eastAsia="宋体"/>
          <w:bCs/>
          <w:color w:val="auto"/>
          <w:sz w:val="24"/>
        </w:rPr>
        <w:t>。</w:t>
      </w:r>
    </w:p>
    <w:p w14:paraId="1C4B10C1">
      <w:pPr>
        <w:pStyle w:val="21"/>
        <w:spacing w:line="460" w:lineRule="exact"/>
        <w:ind w:firstLine="480"/>
        <w:rPr>
          <w:rFonts w:ascii="Times New Roman" w:hAnsi="Times New Roman" w:eastAsia="宋体"/>
          <w:bCs/>
          <w:color w:val="auto"/>
          <w:sz w:val="24"/>
        </w:rPr>
      </w:pPr>
      <w:r>
        <w:rPr>
          <w:rFonts w:ascii="Times New Roman" w:hAnsi="Times New Roman" w:eastAsia="宋体"/>
          <w:bCs/>
          <w:color w:val="auto"/>
          <w:sz w:val="24"/>
        </w:rPr>
        <w:t>2、</w:t>
      </w:r>
      <w:r>
        <w:rPr>
          <w:rFonts w:hint="eastAsia" w:ascii="Times New Roman" w:hAnsi="Times New Roman" w:eastAsia="宋体"/>
          <w:bCs/>
          <w:color w:val="auto"/>
          <w:sz w:val="24"/>
        </w:rPr>
        <w:t>请</w:t>
      </w:r>
      <w:r>
        <w:rPr>
          <w:rFonts w:ascii="Times New Roman" w:hAnsi="Times New Roman" w:eastAsia="宋体"/>
          <w:bCs/>
          <w:color w:val="auto"/>
          <w:sz w:val="24"/>
        </w:rPr>
        <w:t>供应商提供上述表格中相关业绩的</w:t>
      </w:r>
      <w:r>
        <w:rPr>
          <w:rFonts w:hint="eastAsia" w:ascii="Times New Roman" w:hAnsi="Times New Roman" w:eastAsia="宋体"/>
          <w:bCs/>
          <w:color w:val="auto"/>
          <w:sz w:val="24"/>
        </w:rPr>
        <w:t>证明材料或合同</w:t>
      </w:r>
      <w:r>
        <w:rPr>
          <w:rFonts w:hint="eastAsia" w:ascii="Times New Roman" w:hAnsi="Times New Roman" w:eastAsia="宋体"/>
          <w:color w:val="auto"/>
          <w:sz w:val="24"/>
          <w:szCs w:val="24"/>
        </w:rPr>
        <w:t>（至少</w:t>
      </w:r>
      <w:r>
        <w:rPr>
          <w:rFonts w:hint="eastAsia" w:ascii="Times New Roman" w:hAnsi="Times New Roman" w:eastAsia="宋体"/>
          <w:color w:val="auto"/>
          <w:sz w:val="24"/>
        </w:rPr>
        <w:t>包括合同首页、标的内容所在页、签字盖章页</w:t>
      </w:r>
      <w:r>
        <w:rPr>
          <w:rFonts w:hint="eastAsia" w:ascii="Times New Roman" w:hAnsi="Times New Roman" w:eastAsia="宋体"/>
          <w:color w:val="auto"/>
          <w:sz w:val="24"/>
          <w:szCs w:val="24"/>
        </w:rPr>
        <w:t>）</w:t>
      </w:r>
      <w:r>
        <w:rPr>
          <w:rFonts w:ascii="Times New Roman" w:hAnsi="Times New Roman" w:eastAsia="宋体"/>
          <w:bCs/>
          <w:color w:val="auto"/>
          <w:sz w:val="24"/>
        </w:rPr>
        <w:t>证明材料。</w:t>
      </w:r>
    </w:p>
    <w:p w14:paraId="06CE846C">
      <w:pPr>
        <w:spacing w:line="480" w:lineRule="exact"/>
        <w:ind w:firstLine="480"/>
        <w:rPr>
          <w:color w:val="auto"/>
          <w:sz w:val="24"/>
          <w:szCs w:val="24"/>
        </w:rPr>
      </w:pPr>
      <w:r>
        <w:rPr>
          <w:bCs/>
          <w:color w:val="auto"/>
          <w:sz w:val="24"/>
        </w:rPr>
        <w:t>3、如有需要说明的事项，请在备注中列明。</w:t>
      </w:r>
    </w:p>
    <w:p w14:paraId="3BBAE193">
      <w:pPr>
        <w:spacing w:line="600" w:lineRule="exact"/>
        <w:jc w:val="center"/>
        <w:rPr>
          <w:rFonts w:cs="仿宋"/>
          <w:b/>
          <w:bCs/>
          <w:color w:val="auto"/>
          <w:sz w:val="32"/>
          <w:szCs w:val="32"/>
        </w:rPr>
      </w:pPr>
      <w:bookmarkStart w:id="218" w:name="_Toc462170211"/>
      <w:bookmarkStart w:id="219" w:name="_Toc12365"/>
      <w:bookmarkStart w:id="220" w:name="_Toc414881346"/>
      <w:bookmarkStart w:id="221" w:name="_Toc30999"/>
      <w:bookmarkStart w:id="222" w:name="_Toc447796830"/>
      <w:bookmarkStart w:id="223" w:name="_Toc311034941"/>
      <w:bookmarkStart w:id="224" w:name="_Toc484096033"/>
      <w:r>
        <w:rPr>
          <w:color w:val="auto"/>
        </w:rPr>
        <w:br w:type="page" w:clear="all"/>
      </w:r>
      <w:bookmarkEnd w:id="180"/>
      <w:bookmarkEnd w:id="181"/>
      <w:bookmarkEnd w:id="218"/>
      <w:bookmarkEnd w:id="219"/>
      <w:bookmarkEnd w:id="220"/>
      <w:bookmarkEnd w:id="221"/>
      <w:bookmarkEnd w:id="222"/>
      <w:bookmarkEnd w:id="223"/>
      <w:bookmarkEnd w:id="224"/>
      <w:r>
        <w:rPr>
          <w:rFonts w:hint="eastAsia" w:cs="仿宋"/>
          <w:b/>
          <w:bCs/>
          <w:color w:val="auto"/>
          <w:sz w:val="32"/>
          <w:szCs w:val="32"/>
        </w:rPr>
        <w:t>质疑函范本</w:t>
      </w:r>
    </w:p>
    <w:p w14:paraId="0B6CA30A">
      <w:pPr>
        <w:spacing w:before="305" w:line="360" w:lineRule="auto"/>
        <w:rPr>
          <w:bCs/>
          <w:color w:val="auto"/>
          <w:sz w:val="24"/>
          <w:szCs w:val="24"/>
        </w:rPr>
      </w:pPr>
      <w:r>
        <w:rPr>
          <w:bCs/>
          <w:color w:val="auto"/>
          <w:sz w:val="24"/>
          <w:szCs w:val="24"/>
        </w:rPr>
        <w:t>一、质疑供应商基本信息</w:t>
      </w:r>
    </w:p>
    <w:p w14:paraId="61B779EB">
      <w:pPr>
        <w:spacing w:line="360" w:lineRule="auto"/>
        <w:rPr>
          <w:color w:val="auto"/>
          <w:sz w:val="24"/>
          <w:szCs w:val="24"/>
          <w:u w:val="single"/>
        </w:rPr>
      </w:pPr>
      <w:r>
        <w:rPr>
          <w:color w:val="auto"/>
          <w:sz w:val="24"/>
          <w:szCs w:val="24"/>
        </w:rPr>
        <w:t>质疑供应商：</w:t>
      </w:r>
      <w:r>
        <w:rPr>
          <w:color w:val="auto"/>
          <w:sz w:val="24"/>
          <w:szCs w:val="24"/>
          <w:u w:val="single"/>
        </w:rPr>
        <w:t xml:space="preserve">                                                              </w:t>
      </w:r>
    </w:p>
    <w:p w14:paraId="56CD0A8E">
      <w:pPr>
        <w:spacing w:line="360" w:lineRule="auto"/>
        <w:rPr>
          <w:color w:val="auto"/>
          <w:sz w:val="24"/>
          <w:szCs w:val="24"/>
        </w:rPr>
      </w:pPr>
      <w:r>
        <w:rPr>
          <w:color w:val="auto"/>
          <w:sz w:val="24"/>
          <w:szCs w:val="24"/>
        </w:rPr>
        <w:t>地址：</w:t>
      </w:r>
      <w:r>
        <w:rPr>
          <w:color w:val="auto"/>
          <w:sz w:val="24"/>
          <w:szCs w:val="24"/>
          <w:u w:val="single"/>
        </w:rPr>
        <w:t xml:space="preserve">                             </w:t>
      </w:r>
      <w:r>
        <w:rPr>
          <w:color w:val="auto"/>
          <w:sz w:val="24"/>
          <w:szCs w:val="24"/>
        </w:rPr>
        <w:t>邮编：</w:t>
      </w:r>
      <w:r>
        <w:rPr>
          <w:color w:val="auto"/>
          <w:sz w:val="24"/>
          <w:szCs w:val="24"/>
          <w:u w:val="single"/>
        </w:rPr>
        <w:t xml:space="preserve">                                    </w:t>
      </w:r>
    </w:p>
    <w:p w14:paraId="131ACFCB">
      <w:pPr>
        <w:spacing w:line="360" w:lineRule="auto"/>
        <w:rPr>
          <w:color w:val="auto"/>
          <w:sz w:val="24"/>
          <w:szCs w:val="24"/>
        </w:rPr>
      </w:pPr>
      <w:r>
        <w:rPr>
          <w:color w:val="auto"/>
          <w:sz w:val="24"/>
          <w:szCs w:val="24"/>
        </w:rPr>
        <w:t>联系人：</w:t>
      </w:r>
      <w:r>
        <w:rPr>
          <w:color w:val="auto"/>
          <w:sz w:val="24"/>
          <w:szCs w:val="24"/>
          <w:u w:val="single"/>
        </w:rPr>
        <w:t xml:space="preserve">                      </w:t>
      </w:r>
      <w:r>
        <w:rPr>
          <w:color w:val="auto"/>
          <w:sz w:val="24"/>
          <w:szCs w:val="24"/>
        </w:rPr>
        <w:t>联系电话：</w:t>
      </w:r>
      <w:r>
        <w:rPr>
          <w:color w:val="auto"/>
          <w:sz w:val="24"/>
          <w:szCs w:val="24"/>
          <w:u w:val="single"/>
        </w:rPr>
        <w:t xml:space="preserve">                                     </w:t>
      </w:r>
    </w:p>
    <w:p w14:paraId="06A248EF">
      <w:pPr>
        <w:spacing w:line="360" w:lineRule="auto"/>
        <w:rPr>
          <w:color w:val="auto"/>
          <w:sz w:val="24"/>
          <w:szCs w:val="24"/>
          <w:u w:val="single"/>
        </w:rPr>
      </w:pPr>
      <w:r>
        <w:rPr>
          <w:color w:val="auto"/>
          <w:sz w:val="24"/>
          <w:szCs w:val="24"/>
        </w:rPr>
        <w:t>授权代表：</w:t>
      </w:r>
      <w:r>
        <w:rPr>
          <w:color w:val="auto"/>
          <w:sz w:val="24"/>
          <w:szCs w:val="24"/>
          <w:u w:val="single"/>
        </w:rPr>
        <w:t xml:space="preserve">                                                                 </w:t>
      </w:r>
    </w:p>
    <w:p w14:paraId="1AD4B66B">
      <w:pPr>
        <w:spacing w:line="360" w:lineRule="auto"/>
        <w:rPr>
          <w:color w:val="auto"/>
          <w:sz w:val="24"/>
          <w:szCs w:val="24"/>
        </w:rPr>
      </w:pPr>
      <w:r>
        <w:rPr>
          <w:color w:val="auto"/>
          <w:sz w:val="24"/>
          <w:szCs w:val="24"/>
        </w:rPr>
        <w:t>联系电话：</w:t>
      </w:r>
      <w:r>
        <w:rPr>
          <w:color w:val="auto"/>
          <w:sz w:val="24"/>
          <w:szCs w:val="24"/>
          <w:u w:val="single"/>
        </w:rPr>
        <w:t xml:space="preserve">                                                                </w:t>
      </w:r>
    </w:p>
    <w:p w14:paraId="6D66E62F">
      <w:pPr>
        <w:spacing w:line="360" w:lineRule="auto"/>
        <w:rPr>
          <w:color w:val="auto"/>
          <w:sz w:val="24"/>
          <w:szCs w:val="24"/>
        </w:rPr>
      </w:pPr>
      <w:r>
        <w:rPr>
          <w:color w:val="auto"/>
          <w:sz w:val="24"/>
          <w:szCs w:val="24"/>
        </w:rPr>
        <w:t xml:space="preserve">地址： </w:t>
      </w:r>
      <w:r>
        <w:rPr>
          <w:color w:val="auto"/>
          <w:sz w:val="24"/>
          <w:szCs w:val="24"/>
          <w:u w:val="single"/>
        </w:rPr>
        <w:t xml:space="preserve">                        </w:t>
      </w:r>
      <w:r>
        <w:rPr>
          <w:color w:val="auto"/>
          <w:sz w:val="24"/>
          <w:szCs w:val="24"/>
        </w:rPr>
        <w:t>邮编：</w:t>
      </w:r>
      <w:r>
        <w:rPr>
          <w:color w:val="auto"/>
          <w:sz w:val="24"/>
          <w:szCs w:val="24"/>
          <w:u w:val="single"/>
        </w:rPr>
        <w:t xml:space="preserve">                                     </w:t>
      </w:r>
    </w:p>
    <w:p w14:paraId="1F998593">
      <w:pPr>
        <w:spacing w:line="360" w:lineRule="auto"/>
        <w:rPr>
          <w:bCs/>
          <w:color w:val="auto"/>
          <w:sz w:val="24"/>
          <w:szCs w:val="24"/>
        </w:rPr>
      </w:pPr>
      <w:r>
        <w:rPr>
          <w:bCs/>
          <w:color w:val="auto"/>
          <w:sz w:val="24"/>
          <w:szCs w:val="24"/>
        </w:rPr>
        <w:t>二、质疑项目基本情况</w:t>
      </w:r>
    </w:p>
    <w:p w14:paraId="5FA60C7A">
      <w:pPr>
        <w:spacing w:line="360" w:lineRule="auto"/>
        <w:rPr>
          <w:color w:val="auto"/>
          <w:sz w:val="24"/>
          <w:szCs w:val="24"/>
        </w:rPr>
      </w:pPr>
      <w:r>
        <w:rPr>
          <w:color w:val="auto"/>
          <w:sz w:val="24"/>
          <w:szCs w:val="24"/>
        </w:rPr>
        <w:t>质疑项目的名称：</w:t>
      </w:r>
      <w:r>
        <w:rPr>
          <w:color w:val="auto"/>
          <w:sz w:val="24"/>
          <w:szCs w:val="24"/>
          <w:u w:val="single"/>
        </w:rPr>
        <w:t xml:space="preserve">                                                          </w:t>
      </w:r>
    </w:p>
    <w:p w14:paraId="00398761">
      <w:pPr>
        <w:spacing w:line="360" w:lineRule="auto"/>
        <w:rPr>
          <w:color w:val="auto"/>
          <w:sz w:val="24"/>
          <w:szCs w:val="24"/>
        </w:rPr>
      </w:pPr>
      <w:r>
        <w:rPr>
          <w:color w:val="auto"/>
          <w:sz w:val="24"/>
          <w:szCs w:val="24"/>
        </w:rPr>
        <w:t>质疑项目的编号：</w:t>
      </w:r>
      <w:r>
        <w:rPr>
          <w:color w:val="auto"/>
          <w:sz w:val="24"/>
          <w:szCs w:val="24"/>
          <w:u w:val="single"/>
        </w:rPr>
        <w:t xml:space="preserve">                         </w:t>
      </w:r>
      <w:r>
        <w:rPr>
          <w:color w:val="auto"/>
          <w:sz w:val="24"/>
          <w:szCs w:val="24"/>
        </w:rPr>
        <w:t>包号：</w:t>
      </w:r>
      <w:r>
        <w:rPr>
          <w:color w:val="auto"/>
          <w:sz w:val="24"/>
          <w:szCs w:val="24"/>
          <w:u w:val="single"/>
        </w:rPr>
        <w:t xml:space="preserve">                           </w:t>
      </w:r>
    </w:p>
    <w:p w14:paraId="3A0B4CA9">
      <w:pPr>
        <w:spacing w:line="360" w:lineRule="auto"/>
        <w:rPr>
          <w:color w:val="auto"/>
          <w:sz w:val="24"/>
          <w:szCs w:val="24"/>
          <w:u w:val="single"/>
        </w:rPr>
      </w:pPr>
      <w:r>
        <w:rPr>
          <w:color w:val="auto"/>
          <w:sz w:val="24"/>
          <w:szCs w:val="24"/>
        </w:rPr>
        <w:t>采购人名称：</w:t>
      </w:r>
      <w:r>
        <w:rPr>
          <w:color w:val="auto"/>
          <w:sz w:val="24"/>
          <w:szCs w:val="24"/>
          <w:u w:val="single"/>
        </w:rPr>
        <w:t xml:space="preserve">                                                              </w:t>
      </w:r>
    </w:p>
    <w:p w14:paraId="5E88C09E">
      <w:pPr>
        <w:spacing w:line="360" w:lineRule="auto"/>
        <w:rPr>
          <w:color w:val="auto"/>
          <w:sz w:val="24"/>
          <w:szCs w:val="24"/>
        </w:rPr>
      </w:pPr>
      <w:r>
        <w:rPr>
          <w:color w:val="auto"/>
          <w:sz w:val="24"/>
          <w:szCs w:val="24"/>
        </w:rPr>
        <w:t>采购文件获取日期：</w:t>
      </w:r>
      <w:r>
        <w:rPr>
          <w:color w:val="auto"/>
          <w:sz w:val="24"/>
          <w:szCs w:val="24"/>
          <w:u w:val="single"/>
        </w:rPr>
        <w:t xml:space="preserve">                                                        </w:t>
      </w:r>
    </w:p>
    <w:p w14:paraId="3F5251BA">
      <w:pPr>
        <w:spacing w:line="360" w:lineRule="auto"/>
        <w:rPr>
          <w:bCs/>
          <w:color w:val="auto"/>
          <w:sz w:val="24"/>
          <w:szCs w:val="24"/>
        </w:rPr>
      </w:pPr>
      <w:r>
        <w:rPr>
          <w:bCs/>
          <w:color w:val="auto"/>
          <w:sz w:val="24"/>
          <w:szCs w:val="24"/>
        </w:rPr>
        <w:t>三、质疑事项具体内容</w:t>
      </w:r>
    </w:p>
    <w:p w14:paraId="54162EBA">
      <w:pPr>
        <w:spacing w:line="360" w:lineRule="auto"/>
        <w:rPr>
          <w:color w:val="auto"/>
          <w:sz w:val="24"/>
          <w:szCs w:val="24"/>
          <w:u w:val="single"/>
        </w:rPr>
      </w:pPr>
      <w:r>
        <w:rPr>
          <w:color w:val="auto"/>
          <w:sz w:val="24"/>
          <w:szCs w:val="24"/>
        </w:rPr>
        <w:t>质疑事项1：</w:t>
      </w:r>
      <w:r>
        <w:rPr>
          <w:color w:val="auto"/>
          <w:sz w:val="24"/>
          <w:szCs w:val="24"/>
          <w:u w:val="single"/>
        </w:rPr>
        <w:t xml:space="preserve">                                                              </w:t>
      </w:r>
    </w:p>
    <w:p w14:paraId="720B6D75">
      <w:pPr>
        <w:spacing w:line="360" w:lineRule="auto"/>
        <w:rPr>
          <w:color w:val="auto"/>
          <w:sz w:val="24"/>
          <w:szCs w:val="24"/>
          <w:u w:val="single"/>
        </w:rPr>
      </w:pPr>
      <w:r>
        <w:rPr>
          <w:color w:val="auto"/>
          <w:sz w:val="24"/>
          <w:szCs w:val="24"/>
        </w:rPr>
        <w:t>事实依据：</w:t>
      </w:r>
      <w:r>
        <w:rPr>
          <w:color w:val="auto"/>
          <w:sz w:val="24"/>
          <w:szCs w:val="24"/>
          <w:u w:val="single"/>
        </w:rPr>
        <w:t xml:space="preserve">                                                                </w:t>
      </w:r>
    </w:p>
    <w:p w14:paraId="3B73242E">
      <w:pPr>
        <w:spacing w:line="360" w:lineRule="auto"/>
        <w:rPr>
          <w:color w:val="auto"/>
          <w:sz w:val="24"/>
          <w:szCs w:val="24"/>
        </w:rPr>
      </w:pPr>
      <w:r>
        <w:rPr>
          <w:color w:val="auto"/>
          <w:sz w:val="24"/>
          <w:szCs w:val="24"/>
          <w:u w:val="single"/>
        </w:rPr>
        <w:t xml:space="preserve">                                                                           </w:t>
      </w:r>
    </w:p>
    <w:p w14:paraId="4B3FCA28">
      <w:pPr>
        <w:spacing w:line="360" w:lineRule="auto"/>
        <w:rPr>
          <w:color w:val="auto"/>
          <w:sz w:val="24"/>
          <w:szCs w:val="24"/>
          <w:u w:val="single"/>
        </w:rPr>
      </w:pPr>
      <w:r>
        <w:rPr>
          <w:color w:val="auto"/>
          <w:sz w:val="24"/>
          <w:szCs w:val="24"/>
        </w:rPr>
        <w:t>法律依据：</w:t>
      </w:r>
      <w:r>
        <w:rPr>
          <w:color w:val="auto"/>
          <w:sz w:val="24"/>
          <w:szCs w:val="24"/>
          <w:u w:val="single"/>
        </w:rPr>
        <w:t xml:space="preserve">                                                                 </w:t>
      </w:r>
    </w:p>
    <w:p w14:paraId="693B4B60">
      <w:pPr>
        <w:spacing w:line="360" w:lineRule="auto"/>
        <w:rPr>
          <w:color w:val="auto"/>
          <w:sz w:val="24"/>
          <w:szCs w:val="24"/>
          <w:u w:val="single"/>
        </w:rPr>
      </w:pPr>
      <w:r>
        <w:rPr>
          <w:color w:val="auto"/>
          <w:sz w:val="24"/>
          <w:szCs w:val="24"/>
          <w:u w:val="single"/>
        </w:rPr>
        <w:t xml:space="preserve">                                                                           </w:t>
      </w:r>
    </w:p>
    <w:p w14:paraId="22C7A2D4">
      <w:pPr>
        <w:spacing w:line="360" w:lineRule="auto"/>
        <w:rPr>
          <w:color w:val="auto"/>
          <w:sz w:val="24"/>
          <w:szCs w:val="24"/>
          <w:u w:val="single"/>
        </w:rPr>
      </w:pPr>
      <w:r>
        <w:rPr>
          <w:color w:val="auto"/>
          <w:sz w:val="24"/>
          <w:szCs w:val="24"/>
        </w:rPr>
        <w:t>质疑事项2</w:t>
      </w:r>
    </w:p>
    <w:p w14:paraId="5FBE69A5">
      <w:pPr>
        <w:spacing w:line="360" w:lineRule="auto"/>
        <w:rPr>
          <w:color w:val="auto"/>
          <w:sz w:val="24"/>
          <w:szCs w:val="24"/>
        </w:rPr>
      </w:pPr>
      <w:r>
        <w:rPr>
          <w:color w:val="auto"/>
          <w:sz w:val="24"/>
          <w:szCs w:val="24"/>
        </w:rPr>
        <w:t>……</w:t>
      </w:r>
    </w:p>
    <w:p w14:paraId="26E7B57C">
      <w:pPr>
        <w:spacing w:line="360" w:lineRule="auto"/>
        <w:rPr>
          <w:bCs/>
          <w:color w:val="auto"/>
          <w:sz w:val="24"/>
          <w:szCs w:val="24"/>
        </w:rPr>
      </w:pPr>
      <w:r>
        <w:rPr>
          <w:bCs/>
          <w:color w:val="auto"/>
          <w:sz w:val="24"/>
          <w:szCs w:val="24"/>
        </w:rPr>
        <w:t>四、与质疑事项相关的质疑请求</w:t>
      </w:r>
    </w:p>
    <w:p w14:paraId="222A2805">
      <w:pPr>
        <w:spacing w:line="360" w:lineRule="auto"/>
        <w:rPr>
          <w:color w:val="auto"/>
          <w:sz w:val="24"/>
          <w:szCs w:val="24"/>
          <w:u w:val="single"/>
        </w:rPr>
      </w:pPr>
      <w:r>
        <w:rPr>
          <w:color w:val="auto"/>
          <w:sz w:val="24"/>
          <w:szCs w:val="24"/>
        </w:rPr>
        <w:t>请求：</w:t>
      </w:r>
      <w:r>
        <w:rPr>
          <w:color w:val="auto"/>
          <w:sz w:val="24"/>
          <w:szCs w:val="24"/>
          <w:u w:val="single"/>
        </w:rPr>
        <w:t xml:space="preserve">                                                                     </w:t>
      </w:r>
    </w:p>
    <w:p w14:paraId="464E16B7">
      <w:pPr>
        <w:rPr>
          <w:color w:val="auto"/>
          <w:sz w:val="24"/>
          <w:szCs w:val="24"/>
        </w:rPr>
      </w:pPr>
      <w:r>
        <w:rPr>
          <w:color w:val="auto"/>
          <w:sz w:val="24"/>
          <w:szCs w:val="24"/>
        </w:rPr>
        <w:t>签字</w:t>
      </w:r>
      <w:r>
        <w:rPr>
          <w:rFonts w:hint="eastAsia"/>
          <w:color w:val="auto"/>
          <w:sz w:val="24"/>
          <w:szCs w:val="24"/>
        </w:rPr>
        <w:t>（</w:t>
      </w:r>
      <w:r>
        <w:rPr>
          <w:color w:val="auto"/>
          <w:sz w:val="24"/>
          <w:szCs w:val="24"/>
        </w:rPr>
        <w:t>签章</w:t>
      </w:r>
      <w:r>
        <w:rPr>
          <w:rFonts w:hint="eastAsia"/>
          <w:color w:val="auto"/>
          <w:sz w:val="24"/>
          <w:szCs w:val="24"/>
        </w:rPr>
        <w:t>）</w:t>
      </w:r>
      <w:r>
        <w:rPr>
          <w:color w:val="auto"/>
          <w:sz w:val="24"/>
          <w:szCs w:val="24"/>
        </w:rPr>
        <w:t xml:space="preserve">：                   公章：                      </w:t>
      </w:r>
    </w:p>
    <w:p w14:paraId="3CCA4E96">
      <w:pPr>
        <w:rPr>
          <w:color w:val="auto"/>
          <w:sz w:val="24"/>
          <w:szCs w:val="24"/>
        </w:rPr>
      </w:pPr>
      <w:r>
        <w:rPr>
          <w:color w:val="auto"/>
          <w:sz w:val="24"/>
          <w:szCs w:val="24"/>
        </w:rPr>
        <w:t xml:space="preserve">日期：    </w:t>
      </w:r>
    </w:p>
    <w:p w14:paraId="38359DBE">
      <w:pPr>
        <w:spacing w:line="440" w:lineRule="exact"/>
        <w:ind w:firstLine="602"/>
        <w:rPr>
          <w:b/>
          <w:color w:val="auto"/>
          <w:sz w:val="24"/>
          <w:szCs w:val="24"/>
        </w:rPr>
      </w:pPr>
      <w:r>
        <w:rPr>
          <w:b/>
          <w:color w:val="auto"/>
          <w:sz w:val="24"/>
          <w:szCs w:val="24"/>
        </w:rPr>
        <w:t>质疑函制作说明：</w:t>
      </w:r>
    </w:p>
    <w:p w14:paraId="7BF16646">
      <w:pPr>
        <w:widowControl/>
        <w:spacing w:line="440" w:lineRule="exact"/>
        <w:ind w:firstLine="480"/>
        <w:jc w:val="left"/>
        <w:rPr>
          <w:color w:val="auto"/>
          <w:sz w:val="24"/>
          <w:szCs w:val="24"/>
        </w:rPr>
      </w:pPr>
      <w:r>
        <w:rPr>
          <w:color w:val="auto"/>
          <w:sz w:val="24"/>
          <w:szCs w:val="24"/>
        </w:rPr>
        <w:t>1</w:t>
      </w:r>
      <w:r>
        <w:rPr>
          <w:rFonts w:hint="eastAsia"/>
          <w:color w:val="auto"/>
          <w:sz w:val="24"/>
          <w:szCs w:val="24"/>
        </w:rPr>
        <w:t>、供应商</w:t>
      </w:r>
      <w:r>
        <w:rPr>
          <w:color w:val="auto"/>
          <w:sz w:val="24"/>
          <w:szCs w:val="24"/>
        </w:rPr>
        <w:t>提出质疑时，应提交质疑函和必要的证明材料（线上获取采购文件后的《投标供应商确认函》、质疑供应商的营业执照复印件等）。</w:t>
      </w:r>
    </w:p>
    <w:p w14:paraId="76ED8CFA">
      <w:pPr>
        <w:widowControl/>
        <w:spacing w:line="440" w:lineRule="exact"/>
        <w:ind w:firstLine="480"/>
        <w:jc w:val="left"/>
        <w:rPr>
          <w:color w:val="auto"/>
          <w:sz w:val="24"/>
          <w:szCs w:val="24"/>
        </w:rPr>
      </w:pPr>
      <w:r>
        <w:rPr>
          <w:color w:val="auto"/>
          <w:sz w:val="24"/>
          <w:szCs w:val="24"/>
        </w:rPr>
        <w:t>2</w:t>
      </w:r>
      <w:r>
        <w:rPr>
          <w:rFonts w:hint="eastAsia"/>
          <w:color w:val="auto"/>
          <w:sz w:val="24"/>
          <w:szCs w:val="24"/>
        </w:rPr>
        <w:t>、</w:t>
      </w:r>
      <w:r>
        <w:rPr>
          <w:color w:val="auto"/>
          <w:sz w:val="24"/>
          <w:szCs w:val="24"/>
        </w:rPr>
        <w:t>质疑供应商若委托代理人进行质疑的，质疑函应按要求列</w:t>
      </w:r>
      <w:r>
        <w:rPr>
          <w:rFonts w:hint="eastAsia" w:cs="宋体"/>
          <w:color w:val="auto"/>
          <w:sz w:val="24"/>
          <w:szCs w:val="24"/>
        </w:rPr>
        <w:t>明“授权代表”的</w:t>
      </w:r>
      <w:r>
        <w:rPr>
          <w:color w:val="auto"/>
          <w:sz w:val="24"/>
          <w:szCs w:val="24"/>
        </w:rPr>
        <w:t>有关内容，并在附件中提交由质疑供应商签署的授权委托书。授权委托书应载明代理人的姓名或者名称、代理事项、具体权限、期限和相关事项。</w:t>
      </w:r>
    </w:p>
    <w:p w14:paraId="12465546">
      <w:pPr>
        <w:widowControl/>
        <w:spacing w:line="440" w:lineRule="exact"/>
        <w:ind w:firstLine="480"/>
        <w:jc w:val="left"/>
        <w:rPr>
          <w:color w:val="auto"/>
          <w:sz w:val="24"/>
          <w:szCs w:val="24"/>
        </w:rPr>
      </w:pPr>
      <w:r>
        <w:rPr>
          <w:color w:val="auto"/>
          <w:sz w:val="24"/>
          <w:szCs w:val="24"/>
        </w:rPr>
        <w:t>3</w:t>
      </w:r>
      <w:r>
        <w:rPr>
          <w:rFonts w:hint="eastAsia"/>
          <w:color w:val="auto"/>
          <w:sz w:val="24"/>
          <w:szCs w:val="24"/>
        </w:rPr>
        <w:t>、</w:t>
      </w:r>
      <w:r>
        <w:rPr>
          <w:color w:val="auto"/>
          <w:sz w:val="24"/>
          <w:szCs w:val="24"/>
        </w:rPr>
        <w:t>质疑供应商若对项目的某一分包进行质疑，质疑函中应列明具体分包号。</w:t>
      </w:r>
    </w:p>
    <w:p w14:paraId="2F421B0C">
      <w:pPr>
        <w:widowControl/>
        <w:spacing w:line="440" w:lineRule="exact"/>
        <w:ind w:firstLine="480"/>
        <w:jc w:val="left"/>
        <w:rPr>
          <w:color w:val="auto"/>
          <w:sz w:val="24"/>
          <w:szCs w:val="24"/>
        </w:rPr>
      </w:pPr>
      <w:r>
        <w:rPr>
          <w:color w:val="auto"/>
          <w:sz w:val="24"/>
          <w:szCs w:val="24"/>
        </w:rPr>
        <w:t>4</w:t>
      </w:r>
      <w:r>
        <w:rPr>
          <w:rFonts w:hint="eastAsia"/>
          <w:color w:val="auto"/>
          <w:sz w:val="24"/>
          <w:szCs w:val="24"/>
        </w:rPr>
        <w:t>、</w:t>
      </w:r>
      <w:r>
        <w:rPr>
          <w:color w:val="auto"/>
          <w:sz w:val="24"/>
          <w:szCs w:val="24"/>
        </w:rPr>
        <w:t>质疑函的质疑事项应具体、明确，并有必要的事实依据和法律依据。</w:t>
      </w:r>
    </w:p>
    <w:p w14:paraId="1614732E">
      <w:pPr>
        <w:widowControl/>
        <w:spacing w:line="440" w:lineRule="exact"/>
        <w:ind w:firstLine="480"/>
        <w:jc w:val="left"/>
        <w:rPr>
          <w:color w:val="auto"/>
          <w:sz w:val="24"/>
          <w:szCs w:val="24"/>
        </w:rPr>
      </w:pPr>
      <w:r>
        <w:rPr>
          <w:color w:val="auto"/>
          <w:sz w:val="24"/>
          <w:szCs w:val="24"/>
        </w:rPr>
        <w:t>5</w:t>
      </w:r>
      <w:r>
        <w:rPr>
          <w:rFonts w:hint="eastAsia"/>
          <w:color w:val="auto"/>
          <w:sz w:val="24"/>
          <w:szCs w:val="24"/>
        </w:rPr>
        <w:t>、</w:t>
      </w:r>
      <w:r>
        <w:rPr>
          <w:color w:val="auto"/>
          <w:sz w:val="24"/>
          <w:szCs w:val="24"/>
        </w:rPr>
        <w:t>质疑函的质疑请求应与质疑事项相关。</w:t>
      </w:r>
    </w:p>
    <w:p w14:paraId="29935AB1">
      <w:pPr>
        <w:widowControl/>
        <w:spacing w:line="440" w:lineRule="exact"/>
        <w:ind w:firstLine="480"/>
        <w:jc w:val="left"/>
        <w:rPr>
          <w:color w:val="auto"/>
          <w:sz w:val="24"/>
          <w:szCs w:val="24"/>
        </w:rPr>
      </w:pPr>
      <w:r>
        <w:rPr>
          <w:color w:val="auto"/>
          <w:sz w:val="24"/>
          <w:szCs w:val="24"/>
        </w:rPr>
        <w:t>6</w:t>
      </w:r>
      <w:r>
        <w:rPr>
          <w:rFonts w:hint="eastAsia"/>
          <w:color w:val="auto"/>
          <w:sz w:val="24"/>
          <w:szCs w:val="24"/>
        </w:rPr>
        <w:t>、</w:t>
      </w:r>
      <w:r>
        <w:rPr>
          <w:color w:val="auto"/>
          <w:sz w:val="24"/>
          <w:szCs w:val="24"/>
        </w:rPr>
        <w:t>质疑供应商为自然人的，质疑函应由本人签字；质疑供应商为法人或者其他组织的，质疑函应由法定代表人、主要负责人，或者其授权代表签字或者盖章，并加盖公章。</w:t>
      </w:r>
    </w:p>
    <w:p w14:paraId="150B0DDF">
      <w:pPr>
        <w:ind w:firstLine="600"/>
        <w:rPr>
          <w:color w:val="auto"/>
          <w:sz w:val="24"/>
          <w:szCs w:val="24"/>
        </w:rPr>
      </w:pPr>
    </w:p>
    <w:p w14:paraId="641FE81F">
      <w:pPr>
        <w:spacing w:line="480" w:lineRule="auto"/>
        <w:rPr>
          <w:color w:val="auto"/>
          <w:sz w:val="24"/>
          <w:szCs w:val="24"/>
          <w:u w:val="single"/>
        </w:rPr>
      </w:pPr>
    </w:p>
    <w:p w14:paraId="3718CB5F">
      <w:pPr>
        <w:pStyle w:val="2"/>
        <w:ind w:firstLine="600"/>
        <w:rPr>
          <w:rFonts w:ascii="Times New Roman"/>
          <w:color w:val="auto"/>
          <w:sz w:val="24"/>
          <w:szCs w:val="24"/>
          <w:u w:val="single"/>
        </w:rPr>
      </w:pPr>
    </w:p>
    <w:p w14:paraId="4D3EDABF">
      <w:pPr>
        <w:pStyle w:val="3"/>
        <w:rPr>
          <w:rFonts w:ascii="Times New Roman" w:hAnsi="Times New Roman"/>
          <w:color w:val="auto"/>
          <w:sz w:val="24"/>
          <w:szCs w:val="24"/>
          <w:u w:val="single"/>
        </w:rPr>
      </w:pPr>
    </w:p>
    <w:p w14:paraId="7F5AA60D">
      <w:pPr>
        <w:pStyle w:val="3"/>
        <w:rPr>
          <w:rFonts w:ascii="Times New Roman" w:hAnsi="Times New Roman"/>
          <w:color w:val="auto"/>
          <w:sz w:val="24"/>
          <w:szCs w:val="24"/>
          <w:u w:val="single"/>
        </w:rPr>
      </w:pPr>
    </w:p>
    <w:p w14:paraId="53A14AAA">
      <w:pPr>
        <w:pStyle w:val="3"/>
        <w:rPr>
          <w:rFonts w:ascii="Times New Roman" w:hAnsi="Times New Roman"/>
          <w:color w:val="auto"/>
          <w:sz w:val="24"/>
          <w:szCs w:val="24"/>
          <w:u w:val="single"/>
        </w:rPr>
      </w:pPr>
    </w:p>
    <w:p w14:paraId="6DBA4508">
      <w:pPr>
        <w:pStyle w:val="3"/>
        <w:rPr>
          <w:rFonts w:ascii="Times New Roman" w:hAnsi="Times New Roman"/>
          <w:color w:val="auto"/>
          <w:sz w:val="24"/>
          <w:szCs w:val="24"/>
          <w:u w:val="single"/>
        </w:rPr>
      </w:pPr>
    </w:p>
    <w:p w14:paraId="1DF7259D">
      <w:pPr>
        <w:pStyle w:val="3"/>
        <w:rPr>
          <w:rFonts w:ascii="Times New Roman" w:hAnsi="Times New Roman"/>
          <w:color w:val="auto"/>
          <w:sz w:val="24"/>
          <w:szCs w:val="24"/>
          <w:u w:val="single"/>
        </w:rPr>
      </w:pPr>
    </w:p>
    <w:p w14:paraId="2D6ACC7B">
      <w:pPr>
        <w:pStyle w:val="3"/>
        <w:rPr>
          <w:rFonts w:ascii="Times New Roman" w:hAnsi="Times New Roman"/>
          <w:color w:val="auto"/>
          <w:sz w:val="24"/>
          <w:szCs w:val="24"/>
          <w:u w:val="single"/>
        </w:rPr>
      </w:pPr>
    </w:p>
    <w:p w14:paraId="7533595B">
      <w:pPr>
        <w:pStyle w:val="2"/>
        <w:ind w:firstLine="0"/>
        <w:rPr>
          <w:rFonts w:ascii="Times New Roman"/>
          <w:color w:val="auto"/>
          <w:spacing w:val="6"/>
          <w:sz w:val="24"/>
          <w:szCs w:val="24"/>
        </w:rPr>
      </w:pPr>
      <w:bookmarkStart w:id="225" w:name="_Toc495949963"/>
      <w:bookmarkStart w:id="226" w:name="_Toc500105782"/>
      <w:bookmarkStart w:id="227" w:name="_Toc4330"/>
      <w:bookmarkStart w:id="228" w:name="_Toc7272"/>
      <w:bookmarkStart w:id="229" w:name="_Toc22920"/>
      <w:bookmarkStart w:id="230" w:name="_Toc497376869"/>
      <w:bookmarkStart w:id="231" w:name="_Toc6674"/>
    </w:p>
    <w:p w14:paraId="4DF7ED9F">
      <w:pPr>
        <w:pStyle w:val="3"/>
        <w:rPr>
          <w:rFonts w:ascii="Times New Roman" w:hAnsi="Times New Roman"/>
          <w:color w:val="auto"/>
          <w:spacing w:val="6"/>
          <w:sz w:val="24"/>
          <w:szCs w:val="24"/>
        </w:rPr>
      </w:pPr>
    </w:p>
    <w:p w14:paraId="3B63C674">
      <w:pPr>
        <w:pStyle w:val="3"/>
        <w:rPr>
          <w:rFonts w:ascii="Times New Roman" w:hAnsi="Times New Roman"/>
          <w:color w:val="auto"/>
          <w:spacing w:val="6"/>
          <w:sz w:val="24"/>
          <w:szCs w:val="24"/>
        </w:rPr>
      </w:pPr>
    </w:p>
    <w:p w14:paraId="7DC113DF">
      <w:pPr>
        <w:pStyle w:val="3"/>
        <w:rPr>
          <w:rFonts w:ascii="Times New Roman" w:hAnsi="Times New Roman"/>
          <w:color w:val="auto"/>
          <w:spacing w:val="6"/>
          <w:sz w:val="24"/>
          <w:szCs w:val="24"/>
        </w:rPr>
      </w:pPr>
    </w:p>
    <w:p w14:paraId="73245A01">
      <w:pPr>
        <w:pStyle w:val="3"/>
        <w:rPr>
          <w:rFonts w:ascii="Times New Roman" w:hAnsi="Times New Roman"/>
          <w:color w:val="auto"/>
          <w:spacing w:val="6"/>
          <w:sz w:val="24"/>
          <w:szCs w:val="24"/>
        </w:rPr>
      </w:pPr>
    </w:p>
    <w:p w14:paraId="549DCC47">
      <w:pPr>
        <w:pStyle w:val="3"/>
        <w:rPr>
          <w:rFonts w:ascii="Times New Roman" w:hAnsi="Times New Roman"/>
          <w:color w:val="auto"/>
          <w:spacing w:val="6"/>
          <w:sz w:val="24"/>
          <w:szCs w:val="24"/>
        </w:rPr>
      </w:pPr>
    </w:p>
    <w:p w14:paraId="44B299A2">
      <w:pPr>
        <w:pStyle w:val="3"/>
        <w:rPr>
          <w:rFonts w:ascii="Times New Roman" w:hAnsi="Times New Roman"/>
          <w:color w:val="auto"/>
          <w:spacing w:val="6"/>
          <w:sz w:val="24"/>
          <w:szCs w:val="24"/>
        </w:rPr>
      </w:pPr>
    </w:p>
    <w:p w14:paraId="12BCAD87">
      <w:pPr>
        <w:pStyle w:val="3"/>
        <w:rPr>
          <w:rFonts w:ascii="Times New Roman" w:hAnsi="Times New Roman"/>
          <w:color w:val="auto"/>
          <w:spacing w:val="6"/>
          <w:sz w:val="24"/>
          <w:szCs w:val="24"/>
        </w:rPr>
      </w:pPr>
    </w:p>
    <w:p w14:paraId="6B59C711">
      <w:pPr>
        <w:pStyle w:val="3"/>
        <w:rPr>
          <w:rFonts w:ascii="Times New Roman" w:hAnsi="Times New Roman"/>
          <w:color w:val="auto"/>
          <w:spacing w:val="6"/>
          <w:sz w:val="24"/>
          <w:szCs w:val="24"/>
        </w:rPr>
      </w:pPr>
    </w:p>
    <w:p w14:paraId="6E36CBC3">
      <w:pPr>
        <w:pStyle w:val="3"/>
        <w:rPr>
          <w:rFonts w:ascii="Times New Roman" w:hAnsi="Times New Roman"/>
          <w:color w:val="auto"/>
          <w:spacing w:val="6"/>
          <w:sz w:val="24"/>
          <w:szCs w:val="24"/>
        </w:rPr>
      </w:pPr>
    </w:p>
    <w:p w14:paraId="4733E9F5">
      <w:pPr>
        <w:pStyle w:val="3"/>
        <w:rPr>
          <w:rFonts w:ascii="Times New Roman" w:hAnsi="Times New Roman"/>
          <w:color w:val="auto"/>
          <w:spacing w:val="6"/>
          <w:sz w:val="24"/>
          <w:szCs w:val="24"/>
        </w:rPr>
      </w:pPr>
    </w:p>
    <w:p w14:paraId="2DA3280F">
      <w:pPr>
        <w:pStyle w:val="3"/>
        <w:rPr>
          <w:rFonts w:ascii="Times New Roman" w:hAnsi="Times New Roman"/>
          <w:color w:val="auto"/>
          <w:spacing w:val="6"/>
          <w:sz w:val="24"/>
          <w:szCs w:val="24"/>
        </w:rPr>
      </w:pPr>
    </w:p>
    <w:p w14:paraId="674488EF">
      <w:pPr>
        <w:pStyle w:val="3"/>
        <w:rPr>
          <w:rFonts w:ascii="Times New Roman" w:hAnsi="Times New Roman"/>
          <w:color w:val="auto"/>
          <w:spacing w:val="6"/>
          <w:sz w:val="24"/>
          <w:szCs w:val="24"/>
        </w:rPr>
      </w:pPr>
    </w:p>
    <w:p w14:paraId="4B462F96">
      <w:pPr>
        <w:pStyle w:val="3"/>
        <w:ind w:firstLine="630"/>
        <w:rPr>
          <w:rFonts w:ascii="Times New Roman" w:hAnsi="Times New Roman"/>
          <w:color w:val="auto"/>
          <w:spacing w:val="6"/>
          <w:sz w:val="24"/>
          <w:szCs w:val="24"/>
        </w:rPr>
      </w:pPr>
    </w:p>
    <w:bookmarkEnd w:id="225"/>
    <w:bookmarkEnd w:id="226"/>
    <w:bookmarkEnd w:id="227"/>
    <w:bookmarkEnd w:id="228"/>
    <w:bookmarkEnd w:id="229"/>
    <w:bookmarkEnd w:id="230"/>
    <w:bookmarkEnd w:id="231"/>
    <w:p w14:paraId="5E9C6382">
      <w:pPr>
        <w:pStyle w:val="3"/>
        <w:ind w:firstLine="630"/>
        <w:rPr>
          <w:rFonts w:ascii="Times New Roman" w:hAnsi="Times New Roman"/>
          <w:color w:val="auto"/>
          <w:spacing w:val="6"/>
          <w:sz w:val="24"/>
          <w:szCs w:val="24"/>
        </w:rPr>
      </w:pPr>
    </w:p>
    <w:p w14:paraId="30A26026">
      <w:pPr>
        <w:pStyle w:val="2"/>
        <w:ind w:firstLine="630"/>
        <w:rPr>
          <w:rFonts w:ascii="Times New Roman"/>
          <w:color w:val="auto"/>
          <w:spacing w:val="6"/>
          <w:sz w:val="24"/>
          <w:szCs w:val="24"/>
        </w:rPr>
      </w:pPr>
    </w:p>
    <w:p w14:paraId="604F5730">
      <w:pPr>
        <w:spacing w:line="500" w:lineRule="exact"/>
        <w:rPr>
          <w:color w:val="auto"/>
          <w:sz w:val="24"/>
          <w:szCs w:val="24"/>
        </w:rPr>
      </w:pPr>
    </w:p>
    <w:sectPr>
      <w:footerReference r:id="rId7" w:type="first"/>
      <w:footerReference r:id="rId6" w:type="default"/>
      <w:pgSz w:w="11907" w:h="16840"/>
      <w:pgMar w:top="1440" w:right="1080" w:bottom="1440" w:left="1080" w:header="567" w:footer="794"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821 BT">
    <w:altName w:val="Segoe Print"/>
    <w:panose1 w:val="00000000000000000000"/>
    <w:charset w:val="00"/>
    <w:family w:val="modern"/>
    <w:pitch w:val="default"/>
    <w:sig w:usb0="00000000" w:usb1="00000000" w:usb2="00000000" w:usb3="00000000" w:csb0="0000001B"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Times New Roman (正文 CS 字体)">
    <w:altName w:val="Times New Roman"/>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050CD">
    <w:pPr>
      <w:pStyle w:val="35"/>
      <w:ind w:right="360" w:firstLine="45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84BBA">
    <w:pPr>
      <w:pStyle w:val="35"/>
      <w:framePr w:wrap="around" w:vAnchor="text" w:hAnchor="margin" w:xAlign="right" w:y="1"/>
      <w:ind w:firstLine="450"/>
      <w:rPr>
        <w:rStyle w:val="62"/>
      </w:rPr>
    </w:pPr>
    <w:r>
      <w:fldChar w:fldCharType="begin"/>
    </w:r>
    <w:r>
      <w:rPr>
        <w:rStyle w:val="62"/>
      </w:rPr>
      <w:instrText xml:space="preserve">PAGE  </w:instrText>
    </w:r>
    <w:r>
      <w:fldChar w:fldCharType="separate"/>
    </w:r>
    <w:r>
      <w:rPr>
        <w:rStyle w:val="62"/>
      </w:rPr>
      <w:t>16</w:t>
    </w:r>
    <w:r>
      <w:fldChar w:fldCharType="end"/>
    </w:r>
  </w:p>
  <w:p w14:paraId="000DF14C">
    <w:pPr>
      <w:pStyle w:val="35"/>
      <w:ind w:right="360" w:firstLine="450"/>
    </w:pPr>
  </w:p>
  <w:p w14:paraId="31EE921A"/>
  <w:p w14:paraId="2867D0B5"/>
  <w:p w14:paraId="31BE6807"/>
  <w:p w14:paraId="70A997D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E4A88">
    <w:pPr>
      <w:pStyle w:val="35"/>
      <w:ind w:right="360" w:firstLine="45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FA099A">
                          <w:pPr>
                            <w:pStyle w:val="35"/>
                          </w:pPr>
                          <w:r>
                            <w:t xml:space="preserve">第 </w:t>
                          </w:r>
                          <w:r>
                            <w:fldChar w:fldCharType="begin"/>
                          </w:r>
                          <w:r>
                            <w:instrText xml:space="preserve"> PAGE  \* MERGEFORMAT </w:instrText>
                          </w:r>
                          <w:r>
                            <w:fldChar w:fldCharType="separate"/>
                          </w:r>
                          <w:r>
                            <w:t>27</w:t>
                          </w:r>
                          <w:r>
                            <w:fldChar w:fldCharType="end"/>
                          </w:r>
                          <w:r>
                            <w:t xml:space="preserve"> 页 共 </w:t>
                          </w:r>
                          <w:r>
                            <w:rPr>
                              <w:rFonts w:hint="eastAsia"/>
                            </w:rPr>
                            <w:t>51</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AFA099A">
                    <w:pPr>
                      <w:pStyle w:val="35"/>
                    </w:pPr>
                    <w:r>
                      <w:t xml:space="preserve">第 </w:t>
                    </w:r>
                    <w:r>
                      <w:fldChar w:fldCharType="begin"/>
                    </w:r>
                    <w:r>
                      <w:instrText xml:space="preserve"> PAGE  \* MERGEFORMAT </w:instrText>
                    </w:r>
                    <w:r>
                      <w:fldChar w:fldCharType="separate"/>
                    </w:r>
                    <w:r>
                      <w:t>27</w:t>
                    </w:r>
                    <w:r>
                      <w:fldChar w:fldCharType="end"/>
                    </w:r>
                    <w:r>
                      <w:t xml:space="preserve"> 页 共 </w:t>
                    </w:r>
                    <w:r>
                      <w:rPr>
                        <w:rFonts w:hint="eastAsia"/>
                      </w:rPr>
                      <w:t>51</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998B2">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BD7F47">
                          <w:pPr>
                            <w:pStyle w:val="35"/>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51</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CBD7F47">
                    <w:pPr>
                      <w:pStyle w:val="35"/>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51</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F54C0">
    <w:pPr>
      <w:pStyle w:val="36"/>
      <w:jc w:val="left"/>
      <w:rPr>
        <w:rFonts w:ascii="宋体" w:hAnsi="宋体"/>
        <w:color w:val="808080"/>
        <w:spacing w:val="6"/>
        <w:sz w:val="21"/>
      </w:rPr>
    </w:pPr>
    <w:r>
      <w:rPr>
        <w:rFonts w:hint="eastAsia" w:ascii="黑体" w:hAnsi="黑体" w:eastAsia="黑体" w:cs="黑体"/>
        <w:b/>
        <w:color w:val="808080"/>
        <w:spacing w:val="6"/>
        <w:sz w:val="21"/>
        <w:szCs w:val="21"/>
      </w:rPr>
      <w:t>2026年度江苏省预算管理一体化系统常熟地区实施及运维服务竞争性磋商文件</w:t>
    </w:r>
    <w:r>
      <w:rPr>
        <w:rFonts w:hint="eastAsia" w:ascii="宋体" w:hAnsi="宋体"/>
        <w:bCs/>
        <w:color w:val="808080"/>
        <w:spacing w:val="6"/>
      </w:rPr>
      <w:t xml:space="preserve"> </w:t>
    </w:r>
    <w:r>
      <w:rPr>
        <w:rFonts w:ascii="宋体" w:hAnsi="宋体"/>
        <w:bCs/>
        <w:color w:val="808080"/>
        <w:spacing w:val="6"/>
      </w:rPr>
      <w:t xml:space="preserve">   </w:t>
    </w:r>
    <w:r>
      <w:rPr>
        <w:rFonts w:hint="eastAsia" w:ascii="宋体" w:hAnsi="宋体"/>
        <w:bCs/>
        <w:color w:val="808080"/>
        <w:spacing w:val="6"/>
      </w:rPr>
      <w:t xml:space="preserve"> </w:t>
    </w:r>
    <w:r>
      <w:rPr>
        <w:rFonts w:ascii="宋体" w:hAnsi="宋体"/>
        <w:bCs/>
        <w:color w:val="808080"/>
        <w:spacing w:val="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B763AA5"/>
    <w:multiLevelType w:val="singleLevel"/>
    <w:tmpl w:val="CB763AA5"/>
    <w:lvl w:ilvl="0" w:tentative="0">
      <w:start w:val="3"/>
      <w:numFmt w:val="decimal"/>
      <w:suff w:val="nothing"/>
      <w:lvlText w:val="%1、"/>
      <w:lvlJc w:val="left"/>
      <w:rPr>
        <w:rFonts w:hint="default"/>
        <w:b/>
        <w:bCs/>
      </w:rPr>
    </w:lvl>
  </w:abstractNum>
  <w:abstractNum w:abstractNumId="2">
    <w:nsid w:val="CF092B84"/>
    <w:multiLevelType w:val="multilevel"/>
    <w:tmpl w:val="CF092B84"/>
    <w:lvl w:ilvl="0" w:tentative="0">
      <w:start w:val="1"/>
      <w:numFmt w:val="decimal"/>
      <w:pStyle w:val="269"/>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pStyle w:val="263"/>
      <w:lvlText w:val="%1、"/>
      <w:lvlJc w:val="left"/>
      <w:pPr>
        <w:tabs>
          <w:tab w:val="left" w:pos="516"/>
        </w:tabs>
        <w:ind w:left="516" w:hanging="375"/>
      </w:pPr>
      <w:rPr>
        <w:rFonts w:hint="eastAsia"/>
      </w:rPr>
    </w:lvl>
    <w:lvl w:ilvl="1" w:tentative="0">
      <w:start w:val="1"/>
      <w:numFmt w:val="lowerLetter"/>
      <w:lvlText w:val="%2)"/>
      <w:lvlJc w:val="left"/>
      <w:pPr>
        <w:tabs>
          <w:tab w:val="left" w:pos="981"/>
        </w:tabs>
        <w:ind w:left="981" w:hanging="420"/>
      </w:pPr>
    </w:lvl>
    <w:lvl w:ilvl="2" w:tentative="0">
      <w:start w:val="1"/>
      <w:numFmt w:val="lowerRoman"/>
      <w:lvlText w:val="%3."/>
      <w:lvlJc w:val="right"/>
      <w:pPr>
        <w:tabs>
          <w:tab w:val="left" w:pos="1401"/>
        </w:tabs>
        <w:ind w:left="1401" w:hanging="420"/>
      </w:pPr>
    </w:lvl>
    <w:lvl w:ilvl="3" w:tentative="0">
      <w:start w:val="1"/>
      <w:numFmt w:val="decimal"/>
      <w:lvlText w:val="%4."/>
      <w:lvlJc w:val="left"/>
      <w:pPr>
        <w:tabs>
          <w:tab w:val="left" w:pos="1821"/>
        </w:tabs>
        <w:ind w:left="1821" w:hanging="420"/>
      </w:pPr>
    </w:lvl>
    <w:lvl w:ilvl="4" w:tentative="0">
      <w:start w:val="1"/>
      <w:numFmt w:val="lowerLetter"/>
      <w:lvlText w:val="%5)"/>
      <w:lvlJc w:val="left"/>
      <w:pPr>
        <w:tabs>
          <w:tab w:val="left" w:pos="2241"/>
        </w:tabs>
        <w:ind w:left="2241" w:hanging="420"/>
      </w:pPr>
    </w:lvl>
    <w:lvl w:ilvl="5" w:tentative="0">
      <w:start w:val="1"/>
      <w:numFmt w:val="lowerRoman"/>
      <w:lvlText w:val="%6."/>
      <w:lvlJc w:val="right"/>
      <w:pPr>
        <w:tabs>
          <w:tab w:val="left" w:pos="2661"/>
        </w:tabs>
        <w:ind w:left="2661" w:hanging="420"/>
      </w:pPr>
    </w:lvl>
    <w:lvl w:ilvl="6" w:tentative="0">
      <w:start w:val="1"/>
      <w:numFmt w:val="decimal"/>
      <w:lvlText w:val="%7."/>
      <w:lvlJc w:val="left"/>
      <w:pPr>
        <w:tabs>
          <w:tab w:val="left" w:pos="3081"/>
        </w:tabs>
        <w:ind w:left="3081" w:hanging="420"/>
      </w:pPr>
    </w:lvl>
    <w:lvl w:ilvl="7" w:tentative="0">
      <w:start w:val="1"/>
      <w:numFmt w:val="lowerLetter"/>
      <w:lvlText w:val="%8)"/>
      <w:lvlJc w:val="left"/>
      <w:pPr>
        <w:tabs>
          <w:tab w:val="left" w:pos="3501"/>
        </w:tabs>
        <w:ind w:left="3501" w:hanging="420"/>
      </w:pPr>
    </w:lvl>
    <w:lvl w:ilvl="8" w:tentative="0">
      <w:start w:val="1"/>
      <w:numFmt w:val="lowerRoman"/>
      <w:lvlText w:val="%9."/>
      <w:lvlJc w:val="right"/>
      <w:pPr>
        <w:tabs>
          <w:tab w:val="left" w:pos="3921"/>
        </w:tabs>
        <w:ind w:left="3921" w:hanging="420"/>
      </w:pPr>
    </w:lvl>
  </w:abstractNum>
  <w:abstractNum w:abstractNumId="4">
    <w:nsid w:val="456BB875"/>
    <w:multiLevelType w:val="singleLevel"/>
    <w:tmpl w:val="456BB875"/>
    <w:lvl w:ilvl="0" w:tentative="0">
      <w:start w:val="6"/>
      <w:numFmt w:val="decimal"/>
      <w:suff w:val="nothing"/>
      <w:lvlText w:val="%1、"/>
      <w:lvlJc w:val="left"/>
    </w:lvl>
  </w:abstractNum>
  <w:abstractNum w:abstractNumId="5">
    <w:nsid w:val="59ADCABA"/>
    <w:multiLevelType w:val="multilevel"/>
    <w:tmpl w:val="59ADCABA"/>
    <w:lvl w:ilvl="0" w:tentative="0">
      <w:start w:val="1"/>
      <w:numFmt w:val="decimal"/>
      <w:pStyle w:val="27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5"/>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47F"/>
    <w:rsid w:val="00031909"/>
    <w:rsid w:val="000336E6"/>
    <w:rsid w:val="00072C55"/>
    <w:rsid w:val="000926AE"/>
    <w:rsid w:val="000B1F31"/>
    <w:rsid w:val="001559F7"/>
    <w:rsid w:val="00173AF7"/>
    <w:rsid w:val="001759F0"/>
    <w:rsid w:val="0018234C"/>
    <w:rsid w:val="00184B0A"/>
    <w:rsid w:val="001B7695"/>
    <w:rsid w:val="001C4F03"/>
    <w:rsid w:val="001D6E65"/>
    <w:rsid w:val="001E0224"/>
    <w:rsid w:val="002149D8"/>
    <w:rsid w:val="002518E1"/>
    <w:rsid w:val="002B29E2"/>
    <w:rsid w:val="002D447F"/>
    <w:rsid w:val="002F3395"/>
    <w:rsid w:val="00320B61"/>
    <w:rsid w:val="00324AE0"/>
    <w:rsid w:val="00326E4C"/>
    <w:rsid w:val="0032705C"/>
    <w:rsid w:val="0035421D"/>
    <w:rsid w:val="00380A42"/>
    <w:rsid w:val="003832F9"/>
    <w:rsid w:val="003931D2"/>
    <w:rsid w:val="003935D5"/>
    <w:rsid w:val="0039409C"/>
    <w:rsid w:val="00441661"/>
    <w:rsid w:val="00462F19"/>
    <w:rsid w:val="004C63E5"/>
    <w:rsid w:val="004D7654"/>
    <w:rsid w:val="004E2A1C"/>
    <w:rsid w:val="004E448C"/>
    <w:rsid w:val="004F1C90"/>
    <w:rsid w:val="00502CDD"/>
    <w:rsid w:val="00553DA4"/>
    <w:rsid w:val="00563639"/>
    <w:rsid w:val="00564949"/>
    <w:rsid w:val="00564F68"/>
    <w:rsid w:val="005847FE"/>
    <w:rsid w:val="0058491F"/>
    <w:rsid w:val="00592EE2"/>
    <w:rsid w:val="005D5AFC"/>
    <w:rsid w:val="005E191C"/>
    <w:rsid w:val="005E5A80"/>
    <w:rsid w:val="0061184C"/>
    <w:rsid w:val="0063125A"/>
    <w:rsid w:val="006B62F2"/>
    <w:rsid w:val="00711C0F"/>
    <w:rsid w:val="00740439"/>
    <w:rsid w:val="00787307"/>
    <w:rsid w:val="007A6FB3"/>
    <w:rsid w:val="007E199A"/>
    <w:rsid w:val="0085334F"/>
    <w:rsid w:val="00853D0A"/>
    <w:rsid w:val="00885D5D"/>
    <w:rsid w:val="00893E0D"/>
    <w:rsid w:val="008C1262"/>
    <w:rsid w:val="008D7655"/>
    <w:rsid w:val="008E3FAA"/>
    <w:rsid w:val="008E529B"/>
    <w:rsid w:val="00925CA9"/>
    <w:rsid w:val="00934ED0"/>
    <w:rsid w:val="00940099"/>
    <w:rsid w:val="00990D6E"/>
    <w:rsid w:val="009913DC"/>
    <w:rsid w:val="00996BFB"/>
    <w:rsid w:val="009A0760"/>
    <w:rsid w:val="009A7F2F"/>
    <w:rsid w:val="009C4C90"/>
    <w:rsid w:val="009E3BD7"/>
    <w:rsid w:val="009F7B2A"/>
    <w:rsid w:val="00A26076"/>
    <w:rsid w:val="00A77B3C"/>
    <w:rsid w:val="00A84CAF"/>
    <w:rsid w:val="00AC4025"/>
    <w:rsid w:val="00AD61D0"/>
    <w:rsid w:val="00AE1931"/>
    <w:rsid w:val="00B51813"/>
    <w:rsid w:val="00BC7940"/>
    <w:rsid w:val="00BE3C0D"/>
    <w:rsid w:val="00BE66E3"/>
    <w:rsid w:val="00C26AA0"/>
    <w:rsid w:val="00C73889"/>
    <w:rsid w:val="00C75FC5"/>
    <w:rsid w:val="00C819F9"/>
    <w:rsid w:val="00CA0AC2"/>
    <w:rsid w:val="00CA49CE"/>
    <w:rsid w:val="00CA6B7A"/>
    <w:rsid w:val="00CE3BF4"/>
    <w:rsid w:val="00CF2C26"/>
    <w:rsid w:val="00D020EF"/>
    <w:rsid w:val="00D43F6D"/>
    <w:rsid w:val="00D45E24"/>
    <w:rsid w:val="00DA3A45"/>
    <w:rsid w:val="00DE79A8"/>
    <w:rsid w:val="00E23ECA"/>
    <w:rsid w:val="00E30F60"/>
    <w:rsid w:val="00E864BB"/>
    <w:rsid w:val="00E877A5"/>
    <w:rsid w:val="00ED5839"/>
    <w:rsid w:val="00F2104C"/>
    <w:rsid w:val="00F23087"/>
    <w:rsid w:val="00F46DA9"/>
    <w:rsid w:val="00F67CDA"/>
    <w:rsid w:val="00F76B2B"/>
    <w:rsid w:val="00FA18C2"/>
    <w:rsid w:val="00FB5A5A"/>
    <w:rsid w:val="00FF1749"/>
    <w:rsid w:val="00FF1DF2"/>
    <w:rsid w:val="00FF3B51"/>
    <w:rsid w:val="03D21728"/>
    <w:rsid w:val="0671700F"/>
    <w:rsid w:val="09A44A41"/>
    <w:rsid w:val="0AF049F1"/>
    <w:rsid w:val="10C4777B"/>
    <w:rsid w:val="11FB4600"/>
    <w:rsid w:val="1258246A"/>
    <w:rsid w:val="12B427A8"/>
    <w:rsid w:val="153D171E"/>
    <w:rsid w:val="15D70008"/>
    <w:rsid w:val="234F7F7B"/>
    <w:rsid w:val="23C30DB2"/>
    <w:rsid w:val="26362B17"/>
    <w:rsid w:val="266966F5"/>
    <w:rsid w:val="2920636C"/>
    <w:rsid w:val="2BE54428"/>
    <w:rsid w:val="30BC6E43"/>
    <w:rsid w:val="33607E77"/>
    <w:rsid w:val="347C3F2B"/>
    <w:rsid w:val="34C365C5"/>
    <w:rsid w:val="35FF591B"/>
    <w:rsid w:val="38771169"/>
    <w:rsid w:val="3F652BED"/>
    <w:rsid w:val="401F09B2"/>
    <w:rsid w:val="45BC0ED1"/>
    <w:rsid w:val="479746F1"/>
    <w:rsid w:val="4A5D0119"/>
    <w:rsid w:val="4B155190"/>
    <w:rsid w:val="4B4C6E6A"/>
    <w:rsid w:val="4EB44EDA"/>
    <w:rsid w:val="51617886"/>
    <w:rsid w:val="51ED73F6"/>
    <w:rsid w:val="535049C8"/>
    <w:rsid w:val="58774B8C"/>
    <w:rsid w:val="58D35DF4"/>
    <w:rsid w:val="5B2131F0"/>
    <w:rsid w:val="5BC62F1F"/>
    <w:rsid w:val="5CCA2BCC"/>
    <w:rsid w:val="5DA97E40"/>
    <w:rsid w:val="5DD01C77"/>
    <w:rsid w:val="5EA74267"/>
    <w:rsid w:val="5F714517"/>
    <w:rsid w:val="683F1B14"/>
    <w:rsid w:val="69E5522B"/>
    <w:rsid w:val="6D03564A"/>
    <w:rsid w:val="6E7F297D"/>
    <w:rsid w:val="70A474F6"/>
    <w:rsid w:val="75587C3C"/>
    <w:rsid w:val="7A802546"/>
    <w:rsid w:val="7D2D2F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qFormat/>
    <w:uiPriority w:val="0"/>
    <w:pPr>
      <w:keepNext/>
      <w:tabs>
        <w:tab w:val="left" w:pos="200"/>
      </w:tabs>
      <w:jc w:val="center"/>
      <w:outlineLvl w:val="0"/>
    </w:pPr>
    <w:rPr>
      <w:rFonts w:ascii="宋体" w:hAnsi="宋体"/>
      <w:b/>
      <w:sz w:val="36"/>
    </w:rPr>
  </w:style>
  <w:style w:type="paragraph" w:styleId="5">
    <w:name w:val="heading 2"/>
    <w:basedOn w:val="1"/>
    <w:next w:val="1"/>
    <w:link w:val="232"/>
    <w:qFormat/>
    <w:uiPriority w:val="0"/>
    <w:pPr>
      <w:keepNext/>
      <w:jc w:val="center"/>
      <w:outlineLvl w:val="1"/>
    </w:pPr>
    <w:rPr>
      <w:b/>
      <w:bCs/>
      <w:sz w:val="28"/>
      <w:szCs w:val="28"/>
    </w:rPr>
  </w:style>
  <w:style w:type="paragraph" w:styleId="6">
    <w:name w:val="heading 3"/>
    <w:basedOn w:val="1"/>
    <w:next w:val="1"/>
    <w:link w:val="233"/>
    <w:qFormat/>
    <w:uiPriority w:val="0"/>
    <w:pPr>
      <w:keepNext/>
      <w:jc w:val="center"/>
      <w:outlineLvl w:val="2"/>
    </w:pPr>
    <w:rPr>
      <w:rFonts w:ascii="宋体" w:hAnsi="宋体"/>
      <w:sz w:val="28"/>
    </w:rPr>
  </w:style>
  <w:style w:type="paragraph" w:styleId="7">
    <w:name w:val="heading 4"/>
    <w:basedOn w:val="1"/>
    <w:next w:val="1"/>
    <w:qFormat/>
    <w:uiPriority w:val="0"/>
    <w:pPr>
      <w:keepNext/>
      <w:outlineLvl w:val="3"/>
    </w:pPr>
    <w:rPr>
      <w:b/>
      <w:bCs/>
      <w:sz w:val="18"/>
    </w:rPr>
  </w:style>
  <w:style w:type="paragraph" w:styleId="8">
    <w:name w:val="heading 5"/>
    <w:basedOn w:val="1"/>
    <w:next w:val="1"/>
    <w:link w:val="234"/>
    <w:qFormat/>
    <w:uiPriority w:val="0"/>
    <w:pPr>
      <w:keepNext/>
      <w:jc w:val="center"/>
      <w:outlineLvl w:val="4"/>
    </w:pPr>
    <w:rPr>
      <w:b/>
      <w:bCs/>
      <w:sz w:val="18"/>
    </w:rPr>
  </w:style>
  <w:style w:type="paragraph" w:styleId="9">
    <w:name w:val="heading 6"/>
    <w:basedOn w:val="1"/>
    <w:next w:val="1"/>
    <w:link w:val="110"/>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11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112"/>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113"/>
    <w:unhideWhenUsed/>
    <w:qFormat/>
    <w:uiPriority w:val="9"/>
    <w:pPr>
      <w:keepNext/>
      <w:keepLines/>
      <w:spacing w:before="320" w:after="200"/>
      <w:outlineLvl w:val="8"/>
    </w:pPr>
    <w:rPr>
      <w:rFonts w:ascii="Arial" w:hAnsi="Arial" w:eastAsia="Arial" w:cs="Arial"/>
      <w:i/>
      <w:iCs/>
      <w:szCs w:val="21"/>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237"/>
    <w:qFormat/>
    <w:uiPriority w:val="0"/>
    <w:pPr>
      <w:spacing w:line="312" w:lineRule="atLeast"/>
      <w:ind w:firstLine="574"/>
    </w:pPr>
    <w:rPr>
      <w:rFonts w:ascii="宋体"/>
      <w:sz w:val="28"/>
    </w:rPr>
  </w:style>
  <w:style w:type="paragraph" w:styleId="3">
    <w:name w:val="envelope return"/>
    <w:basedOn w:val="1"/>
    <w:qFormat/>
    <w:uiPriority w:val="0"/>
    <w:rPr>
      <w:rFonts w:ascii="Arial" w:hAnsi="Arial"/>
    </w:rPr>
  </w:style>
  <w:style w:type="paragraph" w:styleId="13">
    <w:name w:val="toc 7"/>
    <w:basedOn w:val="1"/>
    <w:next w:val="1"/>
    <w:semiHidden/>
    <w:qFormat/>
    <w:uiPriority w:val="0"/>
    <w:pPr>
      <w:ind w:left="1260"/>
      <w:jc w:val="left"/>
    </w:pPr>
    <w:rPr>
      <w:szCs w:val="21"/>
    </w:rPr>
  </w:style>
  <w:style w:type="paragraph" w:styleId="14">
    <w:name w:val="index 8"/>
    <w:basedOn w:val="1"/>
    <w:next w:val="1"/>
    <w:semiHidden/>
    <w:qFormat/>
    <w:uiPriority w:val="0"/>
    <w:pPr>
      <w:ind w:left="1400"/>
    </w:pPr>
  </w:style>
  <w:style w:type="paragraph" w:styleId="15">
    <w:name w:val="Normal Indent"/>
    <w:basedOn w:val="1"/>
    <w:qFormat/>
    <w:uiPriority w:val="0"/>
    <w:pPr>
      <w:ind w:firstLine="42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index 5"/>
    <w:basedOn w:val="1"/>
    <w:next w:val="1"/>
    <w:semiHidden/>
    <w:qFormat/>
    <w:uiPriority w:val="0"/>
    <w:pPr>
      <w:ind w:left="800"/>
    </w:pPr>
  </w:style>
  <w:style w:type="paragraph" w:styleId="18">
    <w:name w:val="Document Map"/>
    <w:basedOn w:val="1"/>
    <w:semiHidden/>
    <w:qFormat/>
    <w:uiPriority w:val="0"/>
    <w:pPr>
      <w:shd w:val="clear" w:color="auto" w:fill="000080"/>
    </w:pPr>
  </w:style>
  <w:style w:type="paragraph" w:styleId="19">
    <w:name w:val="annotation text"/>
    <w:basedOn w:val="1"/>
    <w:link w:val="235"/>
    <w:qFormat/>
    <w:uiPriority w:val="0"/>
    <w:pPr>
      <w:jc w:val="left"/>
    </w:pPr>
  </w:style>
  <w:style w:type="paragraph" w:styleId="20">
    <w:name w:val="index 6"/>
    <w:basedOn w:val="1"/>
    <w:next w:val="1"/>
    <w:semiHidden/>
    <w:qFormat/>
    <w:uiPriority w:val="0"/>
    <w:pPr>
      <w:ind w:left="1000"/>
    </w:pPr>
  </w:style>
  <w:style w:type="paragraph" w:styleId="21">
    <w:name w:val="Body Text"/>
    <w:basedOn w:val="1"/>
    <w:next w:val="22"/>
    <w:link w:val="236"/>
    <w:qFormat/>
    <w:uiPriority w:val="0"/>
    <w:rPr>
      <w:rFonts w:ascii="楷体_GB2312" w:hAnsi="Arial" w:eastAsia="楷体_GB2312"/>
      <w:sz w:val="28"/>
    </w:rPr>
  </w:style>
  <w:style w:type="paragraph" w:styleId="22">
    <w:name w:val="Body Text First Indent"/>
    <w:basedOn w:val="21"/>
    <w:next w:val="23"/>
    <w:unhideWhenUsed/>
    <w:qFormat/>
    <w:uiPriority w:val="99"/>
    <w:pPr>
      <w:ind w:firstLine="420"/>
    </w:pPr>
  </w:style>
  <w:style w:type="paragraph" w:styleId="23">
    <w:name w:val="Body Text First Indent 2"/>
    <w:basedOn w:val="2"/>
    <w:next w:val="22"/>
    <w:qFormat/>
    <w:uiPriority w:val="0"/>
  </w:style>
  <w:style w:type="paragraph" w:styleId="24">
    <w:name w:val="Block Text"/>
    <w:basedOn w:val="1"/>
    <w:qFormat/>
    <w:uiPriority w:val="0"/>
    <w:pPr>
      <w:tabs>
        <w:tab w:val="left" w:pos="822"/>
        <w:tab w:val="left" w:pos="2205"/>
        <w:tab w:val="left" w:pos="9000"/>
      </w:tabs>
      <w:spacing w:before="89"/>
      <w:ind w:left="1890" w:right="11" w:hanging="1409"/>
    </w:pPr>
    <w:rPr>
      <w:sz w:val="24"/>
    </w:rPr>
  </w:style>
  <w:style w:type="paragraph" w:styleId="25">
    <w:name w:val="index 4"/>
    <w:basedOn w:val="1"/>
    <w:next w:val="1"/>
    <w:semiHidden/>
    <w:qFormat/>
    <w:uiPriority w:val="0"/>
    <w:pPr>
      <w:ind w:left="600"/>
    </w:pPr>
  </w:style>
  <w:style w:type="paragraph" w:styleId="26">
    <w:name w:val="toc 5"/>
    <w:basedOn w:val="1"/>
    <w:next w:val="1"/>
    <w:semiHidden/>
    <w:qFormat/>
    <w:uiPriority w:val="0"/>
    <w:pPr>
      <w:ind w:left="840"/>
      <w:jc w:val="left"/>
    </w:pPr>
    <w:rPr>
      <w:szCs w:val="21"/>
    </w:rPr>
  </w:style>
  <w:style w:type="paragraph" w:styleId="27">
    <w:name w:val="toc 3"/>
    <w:basedOn w:val="1"/>
    <w:next w:val="1"/>
    <w:semiHidden/>
    <w:qFormat/>
    <w:uiPriority w:val="0"/>
    <w:pPr>
      <w:ind w:left="420"/>
      <w:jc w:val="left"/>
    </w:pPr>
    <w:rPr>
      <w:i/>
      <w:iCs/>
      <w:szCs w:val="24"/>
    </w:rPr>
  </w:style>
  <w:style w:type="paragraph" w:styleId="28">
    <w:name w:val="Plain Text"/>
    <w:basedOn w:val="1"/>
    <w:link w:val="238"/>
    <w:qFormat/>
    <w:uiPriority w:val="0"/>
    <w:rPr>
      <w:rFonts w:ascii="宋体" w:hAnsi="Courier New"/>
    </w:rPr>
  </w:style>
  <w:style w:type="paragraph" w:styleId="29">
    <w:name w:val="toc 8"/>
    <w:basedOn w:val="1"/>
    <w:next w:val="1"/>
    <w:semiHidden/>
    <w:qFormat/>
    <w:uiPriority w:val="0"/>
    <w:pPr>
      <w:ind w:left="1470"/>
      <w:jc w:val="left"/>
    </w:pPr>
    <w:rPr>
      <w:szCs w:val="21"/>
    </w:rPr>
  </w:style>
  <w:style w:type="paragraph" w:styleId="30">
    <w:name w:val="index 3"/>
    <w:basedOn w:val="1"/>
    <w:next w:val="1"/>
    <w:semiHidden/>
    <w:qFormat/>
    <w:uiPriority w:val="0"/>
    <w:pPr>
      <w:ind w:left="400"/>
    </w:pPr>
  </w:style>
  <w:style w:type="paragraph" w:styleId="31">
    <w:name w:val="Date"/>
    <w:basedOn w:val="1"/>
    <w:next w:val="1"/>
    <w:link w:val="239"/>
    <w:qFormat/>
    <w:uiPriority w:val="0"/>
    <w:pPr>
      <w:spacing w:line="312" w:lineRule="atLeast"/>
    </w:pPr>
    <w:rPr>
      <w:rFonts w:ascii="宋体"/>
      <w:sz w:val="28"/>
    </w:rPr>
  </w:style>
  <w:style w:type="paragraph" w:styleId="32">
    <w:name w:val="Body Text Indent 2"/>
    <w:basedOn w:val="1"/>
    <w:qFormat/>
    <w:uiPriority w:val="0"/>
    <w:pPr>
      <w:tabs>
        <w:tab w:val="left" w:pos="1785"/>
        <w:tab w:val="left" w:pos="1887"/>
        <w:tab w:val="left" w:pos="2112"/>
        <w:tab w:val="left" w:pos="9000"/>
      </w:tabs>
      <w:ind w:left="1890" w:hanging="1409"/>
    </w:pPr>
    <w:rPr>
      <w:sz w:val="24"/>
    </w:rPr>
  </w:style>
  <w:style w:type="paragraph" w:styleId="33">
    <w:name w:val="endnote text"/>
    <w:basedOn w:val="1"/>
    <w:link w:val="230"/>
    <w:semiHidden/>
    <w:unhideWhenUsed/>
    <w:qFormat/>
    <w:uiPriority w:val="99"/>
    <w:rPr>
      <w:sz w:val="20"/>
    </w:rPr>
  </w:style>
  <w:style w:type="paragraph" w:styleId="34">
    <w:name w:val="Balloon Text"/>
    <w:basedOn w:val="1"/>
    <w:link w:val="240"/>
    <w:unhideWhenUsed/>
    <w:qFormat/>
    <w:uiPriority w:val="0"/>
    <w:rPr>
      <w:rFonts w:ascii="Calibri" w:hAnsi="Calibri"/>
      <w:sz w:val="18"/>
      <w:szCs w:val="18"/>
    </w:rPr>
  </w:style>
  <w:style w:type="paragraph" w:styleId="35">
    <w:name w:val="footer"/>
    <w:basedOn w:val="1"/>
    <w:link w:val="241"/>
    <w:qFormat/>
    <w:uiPriority w:val="0"/>
    <w:pPr>
      <w:tabs>
        <w:tab w:val="center" w:pos="4153"/>
        <w:tab w:val="right" w:pos="8306"/>
      </w:tabs>
      <w:jc w:val="left"/>
    </w:pPr>
    <w:rPr>
      <w:sz w:val="18"/>
    </w:rPr>
  </w:style>
  <w:style w:type="paragraph" w:styleId="36">
    <w:name w:val="header"/>
    <w:basedOn w:val="1"/>
    <w:link w:val="242"/>
    <w:qFormat/>
    <w:uiPriority w:val="0"/>
    <w:pPr>
      <w:pBdr>
        <w:bottom w:val="single" w:color="auto" w:sz="6" w:space="1"/>
      </w:pBdr>
      <w:tabs>
        <w:tab w:val="center" w:pos="4153"/>
        <w:tab w:val="right" w:pos="8306"/>
      </w:tabs>
      <w:jc w:val="center"/>
    </w:pPr>
    <w:rPr>
      <w:sz w:val="18"/>
    </w:rPr>
  </w:style>
  <w:style w:type="paragraph" w:styleId="37">
    <w:name w:val="Signature"/>
    <w:basedOn w:val="1"/>
    <w:link w:val="243"/>
    <w:qFormat/>
    <w:uiPriority w:val="0"/>
    <w:pPr>
      <w:spacing w:after="600" w:line="312" w:lineRule="atLeast"/>
      <w:jc w:val="center"/>
    </w:pPr>
    <w:rPr>
      <w:rFonts w:eastAsia="仿宋_GB2312"/>
      <w:sz w:val="24"/>
    </w:rPr>
  </w:style>
  <w:style w:type="paragraph" w:styleId="38">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styleId="39">
    <w:name w:val="toc 4"/>
    <w:basedOn w:val="1"/>
    <w:next w:val="1"/>
    <w:semiHidden/>
    <w:qFormat/>
    <w:uiPriority w:val="0"/>
    <w:pPr>
      <w:ind w:left="630"/>
      <w:jc w:val="left"/>
    </w:pPr>
    <w:rPr>
      <w:szCs w:val="21"/>
    </w:rPr>
  </w:style>
  <w:style w:type="paragraph" w:styleId="40">
    <w:name w:val="index heading"/>
    <w:basedOn w:val="1"/>
    <w:next w:val="41"/>
    <w:semiHidden/>
    <w:qFormat/>
    <w:uiPriority w:val="0"/>
  </w:style>
  <w:style w:type="paragraph" w:styleId="41">
    <w:name w:val="index 1"/>
    <w:basedOn w:val="1"/>
    <w:next w:val="1"/>
    <w:semiHidden/>
    <w:qFormat/>
    <w:uiPriority w:val="0"/>
  </w:style>
  <w:style w:type="paragraph" w:styleId="42">
    <w:name w:val="Subtitle"/>
    <w:basedOn w:val="1"/>
    <w:next w:val="1"/>
    <w:link w:val="244"/>
    <w:qFormat/>
    <w:uiPriority w:val="0"/>
    <w:pPr>
      <w:spacing w:before="240" w:after="60" w:line="312" w:lineRule="auto"/>
      <w:jc w:val="center"/>
      <w:outlineLvl w:val="1"/>
    </w:pPr>
    <w:rPr>
      <w:rFonts w:ascii="Cambria" w:hAnsi="Cambria"/>
      <w:b/>
      <w:bCs/>
      <w:sz w:val="32"/>
      <w:szCs w:val="32"/>
    </w:rPr>
  </w:style>
  <w:style w:type="paragraph" w:styleId="43">
    <w:name w:val="footnote text"/>
    <w:basedOn w:val="1"/>
    <w:link w:val="229"/>
    <w:semiHidden/>
    <w:unhideWhenUsed/>
    <w:qFormat/>
    <w:uiPriority w:val="99"/>
    <w:pPr>
      <w:spacing w:after="40"/>
    </w:pPr>
    <w:rPr>
      <w:sz w:val="18"/>
    </w:rPr>
  </w:style>
  <w:style w:type="paragraph" w:styleId="44">
    <w:name w:val="toc 6"/>
    <w:basedOn w:val="1"/>
    <w:next w:val="1"/>
    <w:semiHidden/>
    <w:qFormat/>
    <w:uiPriority w:val="0"/>
    <w:pPr>
      <w:ind w:left="1050"/>
      <w:jc w:val="left"/>
    </w:pPr>
    <w:rPr>
      <w:szCs w:val="21"/>
    </w:rPr>
  </w:style>
  <w:style w:type="paragraph" w:styleId="45">
    <w:name w:val="Body Text Indent 3"/>
    <w:basedOn w:val="1"/>
    <w:qFormat/>
    <w:uiPriority w:val="0"/>
    <w:pPr>
      <w:ind w:firstLine="555"/>
    </w:pPr>
    <w:rPr>
      <w:b/>
      <w:bCs/>
      <w:sz w:val="28"/>
      <w:u w:val="single"/>
    </w:rPr>
  </w:style>
  <w:style w:type="paragraph" w:styleId="46">
    <w:name w:val="index 7"/>
    <w:basedOn w:val="1"/>
    <w:next w:val="1"/>
    <w:semiHidden/>
    <w:qFormat/>
    <w:uiPriority w:val="0"/>
    <w:pPr>
      <w:ind w:left="1200"/>
    </w:pPr>
  </w:style>
  <w:style w:type="paragraph" w:styleId="47">
    <w:name w:val="index 9"/>
    <w:basedOn w:val="1"/>
    <w:next w:val="1"/>
    <w:semiHidden/>
    <w:qFormat/>
    <w:uiPriority w:val="0"/>
    <w:pPr>
      <w:ind w:left="1600"/>
    </w:pPr>
  </w:style>
  <w:style w:type="paragraph" w:styleId="48">
    <w:name w:val="table of figures"/>
    <w:basedOn w:val="1"/>
    <w:next w:val="1"/>
    <w:semiHidden/>
    <w:qFormat/>
    <w:uiPriority w:val="0"/>
    <w:pPr>
      <w:ind w:left="840" w:hanging="420"/>
    </w:pPr>
  </w:style>
  <w:style w:type="paragraph" w:styleId="49">
    <w:name w:val="toc 2"/>
    <w:basedOn w:val="1"/>
    <w:next w:val="1"/>
    <w:qFormat/>
    <w:uiPriority w:val="39"/>
    <w:pPr>
      <w:tabs>
        <w:tab w:val="right" w:leader="dot" w:pos="9450"/>
      </w:tabs>
      <w:spacing w:line="400" w:lineRule="exact"/>
      <w:ind w:left="525"/>
      <w:jc w:val="left"/>
    </w:pPr>
    <w:rPr>
      <w:rFonts w:ascii="宋体" w:hAnsi="宋体"/>
      <w:b/>
      <w:bCs/>
      <w:smallCaps/>
      <w:sz w:val="24"/>
      <w:szCs w:val="24"/>
    </w:rPr>
  </w:style>
  <w:style w:type="paragraph" w:styleId="50">
    <w:name w:val="toc 9"/>
    <w:basedOn w:val="1"/>
    <w:next w:val="1"/>
    <w:semiHidden/>
    <w:qFormat/>
    <w:uiPriority w:val="0"/>
    <w:pPr>
      <w:ind w:left="1680"/>
      <w:jc w:val="left"/>
    </w:pPr>
    <w:rPr>
      <w:szCs w:val="21"/>
    </w:rPr>
  </w:style>
  <w:style w:type="paragraph" w:styleId="51">
    <w:name w:val="Body Text 2"/>
    <w:basedOn w:val="1"/>
    <w:qFormat/>
    <w:uiPriority w:val="0"/>
    <w:pPr>
      <w:spacing w:after="120" w:line="480" w:lineRule="auto"/>
    </w:pPr>
  </w:style>
  <w:style w:type="paragraph" w:styleId="52">
    <w:name w:val="HTML Preformatted"/>
    <w:basedOn w:val="1"/>
    <w:link w:val="24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paragraph" w:styleId="53">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54">
    <w:name w:val="index 2"/>
    <w:basedOn w:val="1"/>
    <w:next w:val="1"/>
    <w:semiHidden/>
    <w:qFormat/>
    <w:uiPriority w:val="0"/>
    <w:pPr>
      <w:ind w:left="200"/>
    </w:pPr>
  </w:style>
  <w:style w:type="paragraph" w:styleId="55">
    <w:name w:val="Title"/>
    <w:basedOn w:val="1"/>
    <w:next w:val="1"/>
    <w:link w:val="246"/>
    <w:qFormat/>
    <w:uiPriority w:val="0"/>
    <w:pPr>
      <w:spacing w:before="240" w:after="60"/>
      <w:jc w:val="center"/>
      <w:outlineLvl w:val="0"/>
    </w:pPr>
    <w:rPr>
      <w:rFonts w:ascii="Cambria" w:hAnsi="Cambria"/>
      <w:b/>
      <w:bCs/>
      <w:sz w:val="32"/>
      <w:szCs w:val="32"/>
    </w:rPr>
  </w:style>
  <w:style w:type="paragraph" w:styleId="56">
    <w:name w:val="annotation subject"/>
    <w:basedOn w:val="19"/>
    <w:next w:val="19"/>
    <w:link w:val="247"/>
    <w:qFormat/>
    <w:uiPriority w:val="0"/>
    <w:rPr>
      <w:b/>
      <w:bCs/>
      <w:sz w:val="20"/>
    </w:rPr>
  </w:style>
  <w:style w:type="table" w:styleId="58">
    <w:name w:val="Table Grid"/>
    <w:basedOn w:val="5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0">
    <w:name w:val="Strong"/>
    <w:qFormat/>
    <w:uiPriority w:val="0"/>
    <w:rPr>
      <w:b/>
      <w:bCs/>
    </w:rPr>
  </w:style>
  <w:style w:type="character" w:styleId="61">
    <w:name w:val="endnote reference"/>
    <w:basedOn w:val="59"/>
    <w:semiHidden/>
    <w:unhideWhenUsed/>
    <w:qFormat/>
    <w:uiPriority w:val="99"/>
    <w:rPr>
      <w:vertAlign w:val="superscript"/>
    </w:rPr>
  </w:style>
  <w:style w:type="character" w:styleId="62">
    <w:name w:val="page number"/>
    <w:qFormat/>
    <w:uiPriority w:val="0"/>
  </w:style>
  <w:style w:type="character" w:styleId="63">
    <w:name w:val="FollowedHyperlink"/>
    <w:qFormat/>
    <w:uiPriority w:val="0"/>
    <w:rPr>
      <w:color w:val="800080"/>
      <w:u w:val="none"/>
    </w:rPr>
  </w:style>
  <w:style w:type="character" w:styleId="64">
    <w:name w:val="Emphasis"/>
    <w:qFormat/>
    <w:uiPriority w:val="0"/>
  </w:style>
  <w:style w:type="character" w:styleId="65">
    <w:name w:val="HTML Definition"/>
    <w:qFormat/>
    <w:uiPriority w:val="0"/>
  </w:style>
  <w:style w:type="character" w:styleId="66">
    <w:name w:val="HTML Typewriter"/>
    <w:qFormat/>
    <w:uiPriority w:val="0"/>
    <w:rPr>
      <w:rFonts w:hint="default" w:ascii="Monospac821 BT" w:hAnsi="Monospac821 BT" w:eastAsia="Monospac821 BT" w:cs="Monospac821 BT"/>
      <w:sz w:val="20"/>
    </w:rPr>
  </w:style>
  <w:style w:type="character" w:styleId="67">
    <w:name w:val="HTML Acronym"/>
    <w:qFormat/>
    <w:uiPriority w:val="0"/>
  </w:style>
  <w:style w:type="character" w:styleId="68">
    <w:name w:val="HTML Variable"/>
    <w:qFormat/>
    <w:uiPriority w:val="0"/>
  </w:style>
  <w:style w:type="character" w:styleId="69">
    <w:name w:val="Hyperlink"/>
    <w:qFormat/>
    <w:uiPriority w:val="99"/>
    <w:rPr>
      <w:color w:val="0000FF"/>
      <w:u w:val="none"/>
    </w:rPr>
  </w:style>
  <w:style w:type="character" w:styleId="70">
    <w:name w:val="HTML Code"/>
    <w:qFormat/>
    <w:uiPriority w:val="0"/>
    <w:rPr>
      <w:rFonts w:hint="default" w:ascii="Monospac821 BT" w:hAnsi="Monospac821 BT" w:eastAsia="Monospac821 BT" w:cs="Monospac821 BT"/>
      <w:sz w:val="20"/>
    </w:rPr>
  </w:style>
  <w:style w:type="character" w:styleId="71">
    <w:name w:val="annotation reference"/>
    <w:qFormat/>
    <w:uiPriority w:val="0"/>
    <w:rPr>
      <w:sz w:val="21"/>
      <w:szCs w:val="21"/>
    </w:rPr>
  </w:style>
  <w:style w:type="character" w:styleId="72">
    <w:name w:val="HTML Cite"/>
    <w:qFormat/>
    <w:uiPriority w:val="0"/>
  </w:style>
  <w:style w:type="character" w:styleId="73">
    <w:name w:val="footnote reference"/>
    <w:basedOn w:val="59"/>
    <w:unhideWhenUsed/>
    <w:qFormat/>
    <w:uiPriority w:val="99"/>
    <w:rPr>
      <w:vertAlign w:val="superscript"/>
    </w:rPr>
  </w:style>
  <w:style w:type="character" w:styleId="74">
    <w:name w:val="HTML Keyboard"/>
    <w:qFormat/>
    <w:uiPriority w:val="0"/>
    <w:rPr>
      <w:rFonts w:ascii="Monospac821 BT" w:hAnsi="Monospac821 BT" w:eastAsia="Monospac821 BT" w:cs="Monospac821 BT"/>
      <w:sz w:val="20"/>
    </w:rPr>
  </w:style>
  <w:style w:type="character" w:styleId="75">
    <w:name w:val="HTML Sample"/>
    <w:qFormat/>
    <w:uiPriority w:val="0"/>
    <w:rPr>
      <w:rFonts w:hint="default" w:ascii="Monospac821 BT" w:hAnsi="Monospac821 BT" w:eastAsia="Monospac821 BT" w:cs="Monospac821 BT"/>
      <w:color w:val="666666"/>
    </w:rPr>
  </w:style>
  <w:style w:type="paragraph" w:customStyle="1" w:styleId="76">
    <w:name w:val="Fließtext"/>
    <w:basedOn w:val="1"/>
    <w:qFormat/>
    <w:uiPriority w:val="0"/>
  </w:style>
  <w:style w:type="character" w:customStyle="1" w:styleId="77">
    <w:name w:val="Heading 6 Char"/>
    <w:basedOn w:val="59"/>
    <w:qFormat/>
    <w:uiPriority w:val="9"/>
    <w:rPr>
      <w:rFonts w:ascii="Arial" w:hAnsi="Arial" w:eastAsia="Arial" w:cs="Arial"/>
      <w:b/>
      <w:bCs/>
      <w:sz w:val="22"/>
      <w:szCs w:val="22"/>
    </w:rPr>
  </w:style>
  <w:style w:type="character" w:customStyle="1" w:styleId="78">
    <w:name w:val="Heading 7 Char"/>
    <w:basedOn w:val="59"/>
    <w:qFormat/>
    <w:uiPriority w:val="9"/>
    <w:rPr>
      <w:rFonts w:ascii="Arial" w:hAnsi="Arial" w:eastAsia="Arial" w:cs="Arial"/>
      <w:b/>
      <w:bCs/>
      <w:i/>
      <w:iCs/>
      <w:sz w:val="22"/>
      <w:szCs w:val="22"/>
    </w:rPr>
  </w:style>
  <w:style w:type="character" w:customStyle="1" w:styleId="79">
    <w:name w:val="Heading 8 Char"/>
    <w:basedOn w:val="59"/>
    <w:qFormat/>
    <w:uiPriority w:val="9"/>
    <w:rPr>
      <w:rFonts w:ascii="Arial" w:hAnsi="Arial" w:eastAsia="Arial" w:cs="Arial"/>
      <w:i/>
      <w:iCs/>
      <w:sz w:val="22"/>
      <w:szCs w:val="22"/>
    </w:rPr>
  </w:style>
  <w:style w:type="character" w:customStyle="1" w:styleId="80">
    <w:name w:val="Heading 9 Char"/>
    <w:basedOn w:val="59"/>
    <w:qFormat/>
    <w:uiPriority w:val="9"/>
    <w:rPr>
      <w:rFonts w:ascii="Arial" w:hAnsi="Arial" w:eastAsia="Arial" w:cs="Arial"/>
      <w:i/>
      <w:iCs/>
      <w:sz w:val="21"/>
      <w:szCs w:val="21"/>
    </w:rPr>
  </w:style>
  <w:style w:type="character" w:customStyle="1" w:styleId="81">
    <w:name w:val="Quote Char"/>
    <w:qFormat/>
    <w:uiPriority w:val="29"/>
    <w:rPr>
      <w:i/>
    </w:rPr>
  </w:style>
  <w:style w:type="character" w:customStyle="1" w:styleId="82">
    <w:name w:val="Intense Quote Char"/>
    <w:qFormat/>
    <w:uiPriority w:val="30"/>
    <w:rPr>
      <w:i/>
    </w:rPr>
  </w:style>
  <w:style w:type="table" w:customStyle="1" w:styleId="83">
    <w:name w:val="无格式表格 11"/>
    <w:basedOn w:val="5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无格式表格 21"/>
    <w:basedOn w:val="5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无格式表格 31"/>
    <w:basedOn w:val="5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41"/>
    <w:basedOn w:val="5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无格式表格 51"/>
    <w:basedOn w:val="5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网格表 1 浅色1"/>
    <w:basedOn w:val="5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网格表 21"/>
    <w:basedOn w:val="5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网格表 31"/>
    <w:basedOn w:val="5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网格表 41"/>
    <w:basedOn w:val="5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网格表 5 深色1"/>
    <w:basedOn w:val="5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网格表 6 彩色1"/>
    <w:basedOn w:val="5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4">
    <w:name w:val="网格表 7 彩色1"/>
    <w:basedOn w:val="5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5">
    <w:name w:val="清单表 1 浅色1"/>
    <w:basedOn w:val="5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6">
    <w:name w:val="清单表 21"/>
    <w:basedOn w:val="5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7">
    <w:name w:val="清单表 31"/>
    <w:basedOn w:val="5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8">
    <w:name w:val="清单表 41"/>
    <w:basedOn w:val="5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9">
    <w:name w:val="清单表 5 深色1"/>
    <w:basedOn w:val="5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0">
    <w:name w:val="清单表 6 彩色1"/>
    <w:basedOn w:val="5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1">
    <w:name w:val="清单表 7 彩色1"/>
    <w:basedOn w:val="5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2">
    <w:name w:val="Footnote Text Char"/>
    <w:qFormat/>
    <w:uiPriority w:val="99"/>
    <w:rPr>
      <w:sz w:val="18"/>
    </w:rPr>
  </w:style>
  <w:style w:type="character" w:customStyle="1" w:styleId="103">
    <w:name w:val="Endnote Text Char"/>
    <w:qFormat/>
    <w:uiPriority w:val="99"/>
    <w:rPr>
      <w:sz w:val="20"/>
    </w:rPr>
  </w:style>
  <w:style w:type="paragraph" w:customStyle="1" w:styleId="104">
    <w:name w:val="TOC 标题1"/>
    <w:unhideWhenUsed/>
    <w:qFormat/>
    <w:uiPriority w:val="39"/>
    <w:rPr>
      <w:rFonts w:ascii="Times New Roman" w:hAnsi="Times New Roman" w:eastAsia="宋体" w:cs="Times New Roman"/>
      <w:lang w:val="en-US" w:eastAsia="zh-CN" w:bidi="ar-SA"/>
    </w:rPr>
  </w:style>
  <w:style w:type="character" w:customStyle="1" w:styleId="105">
    <w:name w:val="Heading 1 Char"/>
    <w:basedOn w:val="59"/>
    <w:qFormat/>
    <w:uiPriority w:val="9"/>
    <w:rPr>
      <w:rFonts w:ascii="Arial" w:hAnsi="Arial" w:eastAsia="Arial" w:cs="Arial"/>
      <w:sz w:val="40"/>
      <w:szCs w:val="40"/>
    </w:rPr>
  </w:style>
  <w:style w:type="character" w:customStyle="1" w:styleId="106">
    <w:name w:val="Heading 2 Char"/>
    <w:basedOn w:val="59"/>
    <w:qFormat/>
    <w:uiPriority w:val="9"/>
    <w:rPr>
      <w:rFonts w:ascii="Arial" w:hAnsi="Arial" w:eastAsia="Arial" w:cs="Arial"/>
      <w:sz w:val="34"/>
    </w:rPr>
  </w:style>
  <w:style w:type="character" w:customStyle="1" w:styleId="107">
    <w:name w:val="Heading 3 Char"/>
    <w:basedOn w:val="59"/>
    <w:qFormat/>
    <w:uiPriority w:val="9"/>
    <w:rPr>
      <w:rFonts w:ascii="Arial" w:hAnsi="Arial" w:eastAsia="Arial" w:cs="Arial"/>
      <w:sz w:val="30"/>
      <w:szCs w:val="30"/>
    </w:rPr>
  </w:style>
  <w:style w:type="character" w:customStyle="1" w:styleId="108">
    <w:name w:val="Heading 4 Char"/>
    <w:basedOn w:val="59"/>
    <w:qFormat/>
    <w:uiPriority w:val="9"/>
    <w:rPr>
      <w:rFonts w:ascii="Arial" w:hAnsi="Arial" w:eastAsia="Arial" w:cs="Arial"/>
      <w:b/>
      <w:bCs/>
      <w:sz w:val="26"/>
      <w:szCs w:val="26"/>
    </w:rPr>
  </w:style>
  <w:style w:type="character" w:customStyle="1" w:styleId="109">
    <w:name w:val="Heading 5 Char"/>
    <w:basedOn w:val="59"/>
    <w:qFormat/>
    <w:uiPriority w:val="9"/>
    <w:rPr>
      <w:rFonts w:ascii="Arial" w:hAnsi="Arial" w:eastAsia="Arial" w:cs="Arial"/>
      <w:b/>
      <w:bCs/>
      <w:sz w:val="24"/>
      <w:szCs w:val="24"/>
    </w:rPr>
  </w:style>
  <w:style w:type="character" w:customStyle="1" w:styleId="110">
    <w:name w:val="标题 6 字符"/>
    <w:basedOn w:val="59"/>
    <w:link w:val="9"/>
    <w:qFormat/>
    <w:uiPriority w:val="9"/>
    <w:rPr>
      <w:rFonts w:ascii="Arial" w:hAnsi="Arial" w:eastAsia="Arial" w:cs="Arial"/>
      <w:b/>
      <w:bCs/>
      <w:sz w:val="22"/>
      <w:szCs w:val="22"/>
    </w:rPr>
  </w:style>
  <w:style w:type="character" w:customStyle="1" w:styleId="111">
    <w:name w:val="标题 7 字符"/>
    <w:basedOn w:val="59"/>
    <w:link w:val="10"/>
    <w:qFormat/>
    <w:uiPriority w:val="9"/>
    <w:rPr>
      <w:rFonts w:ascii="Arial" w:hAnsi="Arial" w:eastAsia="Arial" w:cs="Arial"/>
      <w:b/>
      <w:bCs/>
      <w:i/>
      <w:iCs/>
      <w:sz w:val="22"/>
      <w:szCs w:val="22"/>
    </w:rPr>
  </w:style>
  <w:style w:type="character" w:customStyle="1" w:styleId="112">
    <w:name w:val="标题 8 字符"/>
    <w:basedOn w:val="59"/>
    <w:link w:val="11"/>
    <w:qFormat/>
    <w:uiPriority w:val="9"/>
    <w:rPr>
      <w:rFonts w:ascii="Arial" w:hAnsi="Arial" w:eastAsia="Arial" w:cs="Arial"/>
      <w:i/>
      <w:iCs/>
      <w:sz w:val="22"/>
      <w:szCs w:val="22"/>
    </w:rPr>
  </w:style>
  <w:style w:type="character" w:customStyle="1" w:styleId="113">
    <w:name w:val="标题 9 字符"/>
    <w:basedOn w:val="59"/>
    <w:link w:val="12"/>
    <w:qFormat/>
    <w:uiPriority w:val="9"/>
    <w:rPr>
      <w:rFonts w:ascii="Arial" w:hAnsi="Arial" w:eastAsia="Arial" w:cs="Arial"/>
      <w:i/>
      <w:iCs/>
      <w:sz w:val="21"/>
      <w:szCs w:val="21"/>
    </w:rPr>
  </w:style>
  <w:style w:type="character" w:customStyle="1" w:styleId="114">
    <w:name w:val="Title Char"/>
    <w:basedOn w:val="59"/>
    <w:qFormat/>
    <w:uiPriority w:val="10"/>
    <w:rPr>
      <w:sz w:val="48"/>
      <w:szCs w:val="48"/>
    </w:rPr>
  </w:style>
  <w:style w:type="character" w:customStyle="1" w:styleId="115">
    <w:name w:val="Subtitle Char"/>
    <w:basedOn w:val="59"/>
    <w:qFormat/>
    <w:uiPriority w:val="11"/>
    <w:rPr>
      <w:sz w:val="24"/>
      <w:szCs w:val="24"/>
    </w:rPr>
  </w:style>
  <w:style w:type="paragraph" w:styleId="116">
    <w:name w:val="Quote"/>
    <w:basedOn w:val="1"/>
    <w:next w:val="1"/>
    <w:link w:val="117"/>
    <w:qFormat/>
    <w:uiPriority w:val="29"/>
    <w:pPr>
      <w:ind w:left="720" w:right="720"/>
    </w:pPr>
    <w:rPr>
      <w:i/>
    </w:rPr>
  </w:style>
  <w:style w:type="character" w:customStyle="1" w:styleId="117">
    <w:name w:val="引用 字符"/>
    <w:link w:val="116"/>
    <w:qFormat/>
    <w:uiPriority w:val="29"/>
    <w:rPr>
      <w:i/>
    </w:rPr>
  </w:style>
  <w:style w:type="paragraph" w:styleId="118">
    <w:name w:val="Intense Quote"/>
    <w:basedOn w:val="1"/>
    <w:next w:val="1"/>
    <w:link w:val="11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9">
    <w:name w:val="明显引用 字符"/>
    <w:link w:val="118"/>
    <w:qFormat/>
    <w:uiPriority w:val="30"/>
    <w:rPr>
      <w:i/>
    </w:rPr>
  </w:style>
  <w:style w:type="character" w:customStyle="1" w:styleId="120">
    <w:name w:val="Header Char"/>
    <w:basedOn w:val="59"/>
    <w:qFormat/>
    <w:uiPriority w:val="99"/>
  </w:style>
  <w:style w:type="character" w:customStyle="1" w:styleId="121">
    <w:name w:val="Footer Char"/>
    <w:basedOn w:val="59"/>
    <w:qFormat/>
    <w:uiPriority w:val="99"/>
  </w:style>
  <w:style w:type="character" w:customStyle="1" w:styleId="122">
    <w:name w:val="Caption Char"/>
    <w:qFormat/>
    <w:uiPriority w:val="99"/>
  </w:style>
  <w:style w:type="table" w:customStyle="1" w:styleId="123">
    <w:name w:val="Table Grid Light"/>
    <w:basedOn w:val="5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4">
    <w:name w:val="Grid Table 1 Light - Accent 1"/>
    <w:basedOn w:val="5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5">
    <w:name w:val="Grid Table 1 Light - Accent 2"/>
    <w:basedOn w:val="5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6">
    <w:name w:val="Grid Table 1 Light - Accent 3"/>
    <w:basedOn w:val="5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7">
    <w:name w:val="Grid Table 1 Light - Accent 4"/>
    <w:basedOn w:val="5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8">
    <w:name w:val="Grid Table 1 Light - Accent 5"/>
    <w:basedOn w:val="5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9">
    <w:name w:val="Grid Table 1 Light - Accent 6"/>
    <w:basedOn w:val="5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0">
    <w:name w:val="Grid Table 2 - Accent 1"/>
    <w:basedOn w:val="5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1">
    <w:name w:val="Grid Table 2 - Accent 2"/>
    <w:basedOn w:val="5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2 - Accent 3"/>
    <w:basedOn w:val="5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2 - Accent 4"/>
    <w:basedOn w:val="5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2 - Accent 5"/>
    <w:basedOn w:val="5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2 - Accent 6"/>
    <w:basedOn w:val="5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Grid Table 3 - Accent 1"/>
    <w:basedOn w:val="5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7">
    <w:name w:val="Grid Table 3 - Accent 2"/>
    <w:basedOn w:val="5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8">
    <w:name w:val="Grid Table 3 - Accent 3"/>
    <w:basedOn w:val="5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9">
    <w:name w:val="Grid Table 3 - Accent 4"/>
    <w:basedOn w:val="5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0">
    <w:name w:val="Grid Table 3 - Accent 5"/>
    <w:basedOn w:val="5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1">
    <w:name w:val="Grid Table 3 - Accent 6"/>
    <w:basedOn w:val="5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2">
    <w:name w:val="Grid Table 4 - Accent 1"/>
    <w:basedOn w:val="5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3">
    <w:name w:val="Grid Table 4 - Accent 2"/>
    <w:basedOn w:val="5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4">
    <w:name w:val="Grid Table 4 - Accent 3"/>
    <w:basedOn w:val="5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5">
    <w:name w:val="Grid Table 4 - Accent 4"/>
    <w:basedOn w:val="5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6">
    <w:name w:val="Grid Table 4 - Accent 5"/>
    <w:basedOn w:val="5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7">
    <w:name w:val="Grid Table 4 - Accent 6"/>
    <w:basedOn w:val="5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8">
    <w:name w:val="Grid Table 5 Dark- Accent 1"/>
    <w:basedOn w:val="5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9">
    <w:name w:val="Grid Table 5 Dark - Accent 2"/>
    <w:basedOn w:val="5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0">
    <w:name w:val="Grid Table 5 Dark - Accent 3"/>
    <w:basedOn w:val="5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1">
    <w:name w:val="Grid Table 5 Dark- Accent 4"/>
    <w:basedOn w:val="5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2">
    <w:name w:val="Grid Table 5 Dark - Accent 5"/>
    <w:basedOn w:val="5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3">
    <w:name w:val="Grid Table 5 Dark - Accent 6"/>
    <w:basedOn w:val="5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4">
    <w:name w:val="Grid Table 6 Colorful - Accent 1"/>
    <w:basedOn w:val="5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6 Colorful - Accent 2"/>
    <w:basedOn w:val="5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6 Colorful - Accent 3"/>
    <w:basedOn w:val="5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6 Colorful - Accent 4"/>
    <w:basedOn w:val="5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6 Colorful - Accent 5"/>
    <w:basedOn w:val="5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9">
    <w:name w:val="Grid Table 6 Colorful - Accent 6"/>
    <w:basedOn w:val="5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0">
    <w:name w:val="Grid Table 7 Colorful - Accent 1"/>
    <w:basedOn w:val="5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1">
    <w:name w:val="Grid Table 7 Colorful - Accent 2"/>
    <w:basedOn w:val="5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Grid Table 7 Colorful - Accent 3"/>
    <w:basedOn w:val="5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3">
    <w:name w:val="Grid Table 7 Colorful - Accent 4"/>
    <w:basedOn w:val="5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Grid Table 7 Colorful - Accent 5"/>
    <w:basedOn w:val="5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5">
    <w:name w:val="Grid Table 7 Colorful - Accent 6"/>
    <w:basedOn w:val="5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6">
    <w:name w:val="List Table 1 Light - Accent 1"/>
    <w:basedOn w:val="5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7">
    <w:name w:val="List Table 1 Light - Accent 2"/>
    <w:basedOn w:val="5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8">
    <w:name w:val="List Table 1 Light - Accent 3"/>
    <w:basedOn w:val="5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9">
    <w:name w:val="List Table 1 Light - Accent 4"/>
    <w:basedOn w:val="5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0">
    <w:name w:val="List Table 1 Light - Accent 5"/>
    <w:basedOn w:val="5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1">
    <w:name w:val="List Table 1 Light - Accent 6"/>
    <w:basedOn w:val="5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2">
    <w:name w:val="List Table 2 - Accent 1"/>
    <w:basedOn w:val="5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2 - Accent 2"/>
    <w:basedOn w:val="5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2 - Accent 3"/>
    <w:basedOn w:val="5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2 - Accent 4"/>
    <w:basedOn w:val="5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2 - Accent 5"/>
    <w:basedOn w:val="5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2 - Accent 6"/>
    <w:basedOn w:val="5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List Table 3 - Accent 1"/>
    <w:basedOn w:val="5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9">
    <w:name w:val="List Table 3 - Accent 2"/>
    <w:basedOn w:val="5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0">
    <w:name w:val="List Table 3 - Accent 3"/>
    <w:basedOn w:val="5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1">
    <w:name w:val="List Table 3 - Accent 4"/>
    <w:basedOn w:val="5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2">
    <w:name w:val="List Table 3 - Accent 5"/>
    <w:basedOn w:val="5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3">
    <w:name w:val="List Table 3 - Accent 6"/>
    <w:basedOn w:val="5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4">
    <w:name w:val="List Table 4 - Accent 1"/>
    <w:basedOn w:val="5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5">
    <w:name w:val="List Table 4 - Accent 2"/>
    <w:basedOn w:val="5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6">
    <w:name w:val="List Table 4 - Accent 3"/>
    <w:basedOn w:val="5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7">
    <w:name w:val="List Table 4 - Accent 4"/>
    <w:basedOn w:val="5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8">
    <w:name w:val="List Table 4 - Accent 5"/>
    <w:basedOn w:val="5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9">
    <w:name w:val="List Table 4 - Accent 6"/>
    <w:basedOn w:val="5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0">
    <w:name w:val="List Table 5 Dark - Accent 1"/>
    <w:basedOn w:val="5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1">
    <w:name w:val="List Table 5 Dark - Accent 2"/>
    <w:basedOn w:val="5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2">
    <w:name w:val="List Table 5 Dark - Accent 3"/>
    <w:basedOn w:val="5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3">
    <w:name w:val="List Table 5 Dark - Accent 4"/>
    <w:basedOn w:val="5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4">
    <w:name w:val="List Table 5 Dark - Accent 5"/>
    <w:basedOn w:val="5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5">
    <w:name w:val="List Table 5 Dark - Accent 6"/>
    <w:basedOn w:val="5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6">
    <w:name w:val="List Table 6 Colorful - Accent 1"/>
    <w:basedOn w:val="5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6 Colorful - Accent 2"/>
    <w:basedOn w:val="5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6 Colorful - Accent 3"/>
    <w:basedOn w:val="5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6 Colorful - Accent 4"/>
    <w:basedOn w:val="5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6 Colorful - Accent 5"/>
    <w:basedOn w:val="5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6 Colorful - Accent 6"/>
    <w:basedOn w:val="5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List Table 7 Colorful - Accent 1"/>
    <w:basedOn w:val="5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basedOn w:val="5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basedOn w:val="5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basedOn w:val="5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basedOn w:val="5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basedOn w:val="5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basedOn w:val="5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basedOn w:val="5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basedOn w:val="5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basedOn w:val="5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basedOn w:val="5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basedOn w:val="5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basedOn w:val="5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basedOn w:val="5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basedOn w:val="5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basedOn w:val="5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basedOn w:val="5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basedOn w:val="5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basedOn w:val="5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basedOn w:val="5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basedOn w:val="5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basedOn w:val="5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basedOn w:val="5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basedOn w:val="5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basedOn w:val="5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basedOn w:val="5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basedOn w:val="5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脚注文本 字符"/>
    <w:link w:val="43"/>
    <w:qFormat/>
    <w:uiPriority w:val="99"/>
    <w:rPr>
      <w:sz w:val="18"/>
    </w:rPr>
  </w:style>
  <w:style w:type="character" w:customStyle="1" w:styleId="230">
    <w:name w:val="尾注文本 字符"/>
    <w:link w:val="33"/>
    <w:qFormat/>
    <w:uiPriority w:val="99"/>
    <w:rPr>
      <w:sz w:val="20"/>
    </w:rPr>
  </w:style>
  <w:style w:type="paragraph" w:customStyle="1" w:styleId="231">
    <w:name w:val="TOC 标题11"/>
    <w:unhideWhenUsed/>
    <w:qFormat/>
    <w:uiPriority w:val="39"/>
    <w:rPr>
      <w:rFonts w:ascii="Times New Roman" w:hAnsi="Times New Roman" w:eastAsia="宋体" w:cs="Times New Roman"/>
      <w:lang w:val="en-US" w:eastAsia="zh-CN" w:bidi="ar-SA"/>
    </w:rPr>
  </w:style>
  <w:style w:type="character" w:customStyle="1" w:styleId="232">
    <w:name w:val="标题 2 字符"/>
    <w:link w:val="5"/>
    <w:qFormat/>
    <w:uiPriority w:val="0"/>
    <w:rPr>
      <w:b/>
      <w:bCs/>
      <w:sz w:val="28"/>
      <w:szCs w:val="28"/>
    </w:rPr>
  </w:style>
  <w:style w:type="character" w:customStyle="1" w:styleId="233">
    <w:name w:val="标题 3 字符"/>
    <w:link w:val="6"/>
    <w:semiHidden/>
    <w:qFormat/>
    <w:uiPriority w:val="0"/>
    <w:rPr>
      <w:rFonts w:ascii="宋体" w:hAnsi="宋体" w:eastAsia="宋体"/>
      <w:sz w:val="28"/>
      <w:lang w:val="en-US" w:eastAsia="zh-CN" w:bidi="ar-SA"/>
    </w:rPr>
  </w:style>
  <w:style w:type="character" w:customStyle="1" w:styleId="234">
    <w:name w:val="标题 5 字符"/>
    <w:link w:val="8"/>
    <w:semiHidden/>
    <w:qFormat/>
    <w:uiPriority w:val="0"/>
    <w:rPr>
      <w:rFonts w:eastAsia="宋体"/>
      <w:b/>
      <w:bCs/>
      <w:sz w:val="18"/>
      <w:lang w:val="en-US" w:eastAsia="zh-CN" w:bidi="ar-SA"/>
    </w:rPr>
  </w:style>
  <w:style w:type="character" w:customStyle="1" w:styleId="235">
    <w:name w:val="批注文字 字符"/>
    <w:link w:val="19"/>
    <w:qFormat/>
    <w:uiPriority w:val="0"/>
    <w:rPr>
      <w:sz w:val="21"/>
    </w:rPr>
  </w:style>
  <w:style w:type="character" w:customStyle="1" w:styleId="236">
    <w:name w:val="正文文本 字符"/>
    <w:link w:val="21"/>
    <w:qFormat/>
    <w:uiPriority w:val="0"/>
    <w:rPr>
      <w:rFonts w:ascii="楷体_GB2312" w:hAnsi="Arial" w:eastAsia="楷体_GB2312"/>
      <w:sz w:val="28"/>
    </w:rPr>
  </w:style>
  <w:style w:type="character" w:customStyle="1" w:styleId="237">
    <w:name w:val="正文文本缩进 字符"/>
    <w:link w:val="2"/>
    <w:qFormat/>
    <w:uiPriority w:val="0"/>
    <w:rPr>
      <w:rFonts w:ascii="宋体" w:eastAsia="宋体"/>
      <w:sz w:val="28"/>
      <w:lang w:val="en-US" w:eastAsia="zh-CN" w:bidi="ar-SA"/>
    </w:rPr>
  </w:style>
  <w:style w:type="character" w:customStyle="1" w:styleId="238">
    <w:name w:val="纯文本 字符"/>
    <w:link w:val="28"/>
    <w:qFormat/>
    <w:uiPriority w:val="0"/>
    <w:rPr>
      <w:rFonts w:ascii="宋体" w:hAnsi="Courier New" w:eastAsia="宋体"/>
      <w:sz w:val="21"/>
      <w:lang w:val="en-US" w:eastAsia="zh-CN" w:bidi="ar-SA"/>
    </w:rPr>
  </w:style>
  <w:style w:type="character" w:customStyle="1" w:styleId="239">
    <w:name w:val="日期 字符"/>
    <w:link w:val="31"/>
    <w:qFormat/>
    <w:uiPriority w:val="0"/>
    <w:rPr>
      <w:rFonts w:ascii="宋体"/>
      <w:sz w:val="28"/>
    </w:rPr>
  </w:style>
  <w:style w:type="character" w:customStyle="1" w:styleId="240">
    <w:name w:val="批注框文本 字符"/>
    <w:link w:val="34"/>
    <w:qFormat/>
    <w:uiPriority w:val="0"/>
    <w:rPr>
      <w:rFonts w:ascii="Calibri" w:hAnsi="Calibri" w:eastAsia="宋体"/>
      <w:sz w:val="18"/>
      <w:szCs w:val="18"/>
      <w:lang w:val="en-US" w:eastAsia="zh-CN" w:bidi="ar-SA"/>
    </w:rPr>
  </w:style>
  <w:style w:type="character" w:customStyle="1" w:styleId="241">
    <w:name w:val="页脚 字符"/>
    <w:link w:val="35"/>
    <w:qFormat/>
    <w:uiPriority w:val="0"/>
    <w:rPr>
      <w:rFonts w:eastAsia="宋体"/>
      <w:sz w:val="18"/>
      <w:lang w:val="en-US" w:eastAsia="zh-CN" w:bidi="ar-SA"/>
    </w:rPr>
  </w:style>
  <w:style w:type="character" w:customStyle="1" w:styleId="242">
    <w:name w:val="页眉 字符"/>
    <w:link w:val="36"/>
    <w:qFormat/>
    <w:uiPriority w:val="0"/>
    <w:rPr>
      <w:rFonts w:eastAsia="宋体"/>
      <w:sz w:val="18"/>
      <w:lang w:val="en-US" w:eastAsia="zh-CN" w:bidi="ar-SA"/>
    </w:rPr>
  </w:style>
  <w:style w:type="character" w:customStyle="1" w:styleId="243">
    <w:name w:val="签名 字符"/>
    <w:link w:val="37"/>
    <w:qFormat/>
    <w:uiPriority w:val="0"/>
    <w:rPr>
      <w:rFonts w:eastAsia="仿宋_GB2312"/>
      <w:sz w:val="24"/>
    </w:rPr>
  </w:style>
  <w:style w:type="character" w:customStyle="1" w:styleId="244">
    <w:name w:val="副标题 字符"/>
    <w:link w:val="42"/>
    <w:qFormat/>
    <w:uiPriority w:val="0"/>
    <w:rPr>
      <w:rFonts w:ascii="Cambria" w:hAnsi="Cambria" w:eastAsia="宋体"/>
      <w:b/>
      <w:bCs/>
      <w:sz w:val="32"/>
      <w:szCs w:val="32"/>
      <w:lang w:val="en-US" w:eastAsia="zh-CN" w:bidi="ar-SA"/>
    </w:rPr>
  </w:style>
  <w:style w:type="character" w:customStyle="1" w:styleId="245">
    <w:name w:val="HTML 预设格式 字符"/>
    <w:link w:val="52"/>
    <w:qFormat/>
    <w:uiPriority w:val="99"/>
    <w:rPr>
      <w:rFonts w:ascii="宋体" w:hAnsi="宋体" w:cs="宋体"/>
      <w:sz w:val="24"/>
      <w:szCs w:val="24"/>
    </w:rPr>
  </w:style>
  <w:style w:type="character" w:customStyle="1" w:styleId="246">
    <w:name w:val="标题 字符"/>
    <w:link w:val="55"/>
    <w:qFormat/>
    <w:uiPriority w:val="0"/>
    <w:rPr>
      <w:rFonts w:ascii="Cambria" w:hAnsi="Cambria" w:eastAsia="宋体"/>
      <w:b/>
      <w:bCs/>
      <w:sz w:val="32"/>
      <w:szCs w:val="32"/>
      <w:lang w:val="en-US" w:eastAsia="zh-CN" w:bidi="ar-SA"/>
    </w:rPr>
  </w:style>
  <w:style w:type="character" w:customStyle="1" w:styleId="247">
    <w:name w:val="批注主题 字符"/>
    <w:link w:val="56"/>
    <w:qFormat/>
    <w:uiPriority w:val="0"/>
    <w:rPr>
      <w:b/>
      <w:bCs/>
    </w:rPr>
  </w:style>
  <w:style w:type="paragraph" w:customStyle="1" w:styleId="248">
    <w:name w:val="首行缩进"/>
    <w:basedOn w:val="1"/>
    <w:qFormat/>
    <w:uiPriority w:val="0"/>
    <w:pPr>
      <w:widowControl/>
      <w:ind w:firstLine="480"/>
      <w:jc w:val="left"/>
    </w:pPr>
    <w:rPr>
      <w:rFonts w:ascii="Calibri" w:hAnsi="Calibri"/>
      <w:sz w:val="24"/>
      <w:lang w:val="zh-CN"/>
    </w:rPr>
  </w:style>
  <w:style w:type="character" w:customStyle="1" w:styleId="249">
    <w:name w:val="王兴华的论文正文 Char"/>
    <w:link w:val="250"/>
    <w:qFormat/>
    <w:uiPriority w:val="0"/>
    <w:rPr>
      <w:rFonts w:eastAsia="宋体"/>
      <w:sz w:val="24"/>
      <w:szCs w:val="24"/>
      <w:lang w:val="en-US" w:eastAsia="zh-CN" w:bidi="ar-SA"/>
    </w:rPr>
  </w:style>
  <w:style w:type="paragraph" w:customStyle="1" w:styleId="250">
    <w:name w:val="王兴华的论文正文"/>
    <w:basedOn w:val="15"/>
    <w:link w:val="249"/>
    <w:qFormat/>
    <w:uiPriority w:val="0"/>
    <w:pPr>
      <w:spacing w:line="360" w:lineRule="auto"/>
      <w:ind w:firstLine="200"/>
    </w:pPr>
    <w:rPr>
      <w:sz w:val="24"/>
      <w:szCs w:val="24"/>
    </w:rPr>
  </w:style>
  <w:style w:type="character" w:customStyle="1" w:styleId="251">
    <w:name w:val="active"/>
    <w:qFormat/>
    <w:uiPriority w:val="0"/>
    <w:rPr>
      <w:shd w:val="clear" w:color="auto" w:fill="F6F6F6"/>
    </w:rPr>
  </w:style>
  <w:style w:type="character" w:customStyle="1" w:styleId="252">
    <w:name w:val="无间隔 字符"/>
    <w:link w:val="253"/>
    <w:qFormat/>
    <w:uiPriority w:val="0"/>
    <w:rPr>
      <w:rFonts w:ascii="Calibri" w:hAnsi="Calibri"/>
      <w:sz w:val="22"/>
      <w:szCs w:val="22"/>
      <w:lang w:val="en-US" w:eastAsia="zh-CN" w:bidi="ar-SA"/>
    </w:rPr>
  </w:style>
  <w:style w:type="paragraph" w:styleId="253">
    <w:name w:val="No Spacing"/>
    <w:link w:val="252"/>
    <w:qFormat/>
    <w:uiPriority w:val="0"/>
    <w:rPr>
      <w:rFonts w:ascii="Calibri" w:hAnsi="Calibri" w:eastAsia="宋体" w:cs="Times New Roman"/>
      <w:sz w:val="22"/>
      <w:szCs w:val="22"/>
      <w:lang w:val="en-US" w:eastAsia="zh-CN" w:bidi="ar-SA"/>
    </w:rPr>
  </w:style>
  <w:style w:type="character" w:customStyle="1" w:styleId="254">
    <w:name w:val="apple-converted-space"/>
    <w:qFormat/>
    <w:uiPriority w:val="0"/>
  </w:style>
  <w:style w:type="character" w:customStyle="1" w:styleId="255">
    <w:name w:val="font41"/>
    <w:qFormat/>
    <w:uiPriority w:val="0"/>
    <w:rPr>
      <w:rFonts w:hint="eastAsia" w:ascii="宋体" w:hAnsi="宋体" w:eastAsia="宋体" w:cs="宋体"/>
      <w:color w:val="333333"/>
      <w:sz w:val="12"/>
      <w:szCs w:val="12"/>
      <w:u w:val="none"/>
    </w:rPr>
  </w:style>
  <w:style w:type="character" w:customStyle="1" w:styleId="256">
    <w:name w:val="font31"/>
    <w:qFormat/>
    <w:uiPriority w:val="0"/>
    <w:rPr>
      <w:rFonts w:hint="eastAsia" w:ascii="宋体" w:hAnsi="宋体" w:eastAsia="宋体" w:cs="宋体"/>
      <w:color w:val="000000"/>
      <w:sz w:val="12"/>
      <w:szCs w:val="12"/>
      <w:u w:val="none"/>
    </w:rPr>
  </w:style>
  <w:style w:type="character" w:customStyle="1" w:styleId="257">
    <w:name w:val="font51"/>
    <w:qFormat/>
    <w:uiPriority w:val="0"/>
    <w:rPr>
      <w:rFonts w:hint="eastAsia" w:ascii="宋体" w:hAnsi="宋体" w:eastAsia="宋体" w:cs="宋体"/>
      <w:color w:val="000000"/>
      <w:sz w:val="12"/>
      <w:szCs w:val="12"/>
      <w:u w:val="none"/>
      <w:vertAlign w:val="superscript"/>
    </w:rPr>
  </w:style>
  <w:style w:type="paragraph" w:customStyle="1" w:styleId="258">
    <w:name w:val="正文序号 1"/>
    <w:basedOn w:val="1"/>
    <w:qFormat/>
    <w:uiPriority w:val="0"/>
    <w:pPr>
      <w:tabs>
        <w:tab w:val="left" w:pos="839"/>
      </w:tabs>
      <w:spacing w:before="60"/>
      <w:ind w:left="839" w:hanging="419"/>
    </w:pPr>
    <w:rPr>
      <w:szCs w:val="24"/>
    </w:rPr>
  </w:style>
  <w:style w:type="paragraph" w:styleId="259">
    <w:name w:val="List Paragraph"/>
    <w:basedOn w:val="1"/>
    <w:qFormat/>
    <w:uiPriority w:val="34"/>
    <w:pPr>
      <w:ind w:firstLine="420"/>
    </w:pPr>
    <w:rPr>
      <w:szCs w:val="24"/>
    </w:rPr>
  </w:style>
  <w:style w:type="paragraph" w:customStyle="1" w:styleId="260">
    <w:name w:val="Char Char1 Char Char Char Char Char Char Char"/>
    <w:basedOn w:val="1"/>
    <w:qFormat/>
    <w:uiPriority w:val="0"/>
    <w:rPr>
      <w:rFonts w:ascii="Tahoma" w:hAnsi="Tahoma"/>
      <w:sz w:val="24"/>
    </w:rPr>
  </w:style>
  <w:style w:type="paragraph" w:customStyle="1" w:styleId="261">
    <w:name w:val="Char Char Char Char"/>
    <w:basedOn w:val="18"/>
    <w:qFormat/>
    <w:uiPriority w:val="0"/>
    <w:pPr>
      <w:spacing w:line="360" w:lineRule="auto"/>
    </w:pPr>
    <w:rPr>
      <w:rFonts w:ascii="Tahoma" w:hAnsi="Tahoma"/>
      <w:sz w:val="24"/>
      <w:szCs w:val="24"/>
    </w:rPr>
  </w:style>
  <w:style w:type="paragraph" w:customStyle="1" w:styleId="262">
    <w:name w:val="列表段落1"/>
    <w:basedOn w:val="1"/>
    <w:qFormat/>
    <w:uiPriority w:val="34"/>
    <w:pPr>
      <w:ind w:firstLine="420"/>
    </w:pPr>
    <w:rPr>
      <w:szCs w:val="24"/>
    </w:rPr>
  </w:style>
  <w:style w:type="paragraph" w:customStyle="1" w:styleId="263">
    <w:name w:val="Char Char Char"/>
    <w:basedOn w:val="1"/>
    <w:qFormat/>
    <w:uiPriority w:val="0"/>
    <w:pPr>
      <w:numPr>
        <w:ilvl w:val="0"/>
        <w:numId w:val="1"/>
      </w:numPr>
      <w:tabs>
        <w:tab w:val="left" w:pos="375"/>
        <w:tab w:val="left" w:pos="1545"/>
      </w:tabs>
    </w:pPr>
  </w:style>
  <w:style w:type="paragraph" w:customStyle="1" w:styleId="264">
    <w:name w:val="纯文本2"/>
    <w:basedOn w:val="1"/>
    <w:qFormat/>
    <w:uiPriority w:val="0"/>
    <w:pPr>
      <w:widowControl/>
      <w:jc w:val="left"/>
    </w:pPr>
    <w:rPr>
      <w:rFonts w:ascii="宋体" w:hAnsi="Courier New" w:eastAsia="楷体_GB2312"/>
      <w:sz w:val="26"/>
    </w:rPr>
  </w:style>
  <w:style w:type="paragraph" w:customStyle="1" w:styleId="265">
    <w:name w:val="Body text|2"/>
    <w:basedOn w:val="1"/>
    <w:qFormat/>
    <w:uiPriority w:val="0"/>
    <w:pPr>
      <w:shd w:val="clear" w:color="auto" w:fill="FFFFFF"/>
      <w:spacing w:after="860" w:line="280" w:lineRule="exact"/>
    </w:pPr>
    <w:rPr>
      <w:rFonts w:ascii="PMingLiU" w:hAnsi="PMingLiU" w:eastAsia="PMingLiU" w:cs="PMingLiU"/>
      <w:sz w:val="28"/>
      <w:szCs w:val="28"/>
    </w:rPr>
  </w:style>
  <w:style w:type="paragraph" w:customStyle="1" w:styleId="266">
    <w:name w:val="_Style 5"/>
    <w:basedOn w:val="1"/>
    <w:qFormat/>
    <w:uiPriority w:val="0"/>
  </w:style>
  <w:style w:type="paragraph" w:customStyle="1" w:styleId="267">
    <w:name w:val="纯文本1"/>
    <w:basedOn w:val="1"/>
    <w:qFormat/>
    <w:uiPriority w:val="0"/>
    <w:rPr>
      <w:rFonts w:ascii="宋体" w:hAnsi="Courier New" w:eastAsia="楷体_GB2312"/>
      <w:sz w:val="28"/>
    </w:rPr>
  </w:style>
  <w:style w:type="paragraph" w:customStyle="1" w:styleId="268">
    <w:name w:val="正文序号 3"/>
    <w:basedOn w:val="1"/>
    <w:qFormat/>
    <w:uiPriority w:val="0"/>
    <w:pPr>
      <w:tabs>
        <w:tab w:val="left" w:pos="1259"/>
      </w:tabs>
      <w:spacing w:before="60"/>
      <w:ind w:left="1259" w:hanging="420"/>
    </w:pPr>
    <w:rPr>
      <w:szCs w:val="24"/>
    </w:rPr>
  </w:style>
  <w:style w:type="paragraph" w:customStyle="1" w:styleId="269">
    <w:name w:val="Char"/>
    <w:basedOn w:val="1"/>
    <w:qFormat/>
    <w:uiPriority w:val="0"/>
    <w:pPr>
      <w:numPr>
        <w:ilvl w:val="0"/>
        <w:numId w:val="2"/>
      </w:numPr>
    </w:pPr>
    <w:rPr>
      <w:sz w:val="24"/>
      <w:szCs w:val="24"/>
    </w:rPr>
  </w:style>
  <w:style w:type="paragraph" w:customStyle="1" w:styleId="270">
    <w:name w:val="样式1"/>
    <w:basedOn w:val="1"/>
    <w:qFormat/>
    <w:uiPriority w:val="0"/>
    <w:pPr>
      <w:numPr>
        <w:ilvl w:val="0"/>
        <w:numId w:val="3"/>
      </w:numPr>
    </w:pPr>
    <w:rPr>
      <w:rFonts w:ascii="宋体" w:hAnsi="宋体"/>
      <w:szCs w:val="21"/>
    </w:rPr>
  </w:style>
  <w:style w:type="paragraph" w:customStyle="1" w:styleId="271">
    <w:name w:val="Char1 Char Char Char"/>
    <w:basedOn w:val="1"/>
    <w:qFormat/>
    <w:uiPriority w:val="0"/>
    <w:rPr>
      <w:rFonts w:ascii="Tahoma" w:hAnsi="Tahoma"/>
      <w:sz w:val="24"/>
    </w:rPr>
  </w:style>
  <w:style w:type="paragraph" w:customStyle="1" w:styleId="272">
    <w:name w:val="列出段落1"/>
    <w:basedOn w:val="1"/>
    <w:qFormat/>
    <w:uiPriority w:val="34"/>
    <w:pPr>
      <w:ind w:firstLine="420"/>
    </w:pPr>
    <w:rPr>
      <w:szCs w:val="24"/>
    </w:rPr>
  </w:style>
  <w:style w:type="paragraph" w:customStyle="1" w:styleId="273">
    <w:name w:val="_Style 107"/>
    <w:unhideWhenUsed/>
    <w:qFormat/>
    <w:uiPriority w:val="99"/>
    <w:rPr>
      <w:rFonts w:ascii="Times New Roman" w:hAnsi="Times New Roman" w:eastAsia="宋体" w:cs="Times New Roman"/>
      <w:sz w:val="21"/>
      <w:lang w:val="en-US" w:eastAsia="zh-CN" w:bidi="ar-SA"/>
    </w:rPr>
  </w:style>
  <w:style w:type="paragraph" w:customStyle="1" w:styleId="274">
    <w:name w:val="无间隔1"/>
    <w:qFormat/>
    <w:uiPriority w:val="1"/>
    <w:pPr>
      <w:widowControl w:val="0"/>
      <w:jc w:val="both"/>
    </w:pPr>
    <w:rPr>
      <w:rFonts w:ascii="Times New Roman" w:hAnsi="Times New Roman" w:eastAsia="宋体" w:cs="Times New Roman (正文 CS 字体)"/>
      <w:sz w:val="21"/>
      <w:szCs w:val="24"/>
      <w:lang w:val="en-US" w:eastAsia="zh-CN" w:bidi="ar-SA"/>
    </w:rPr>
  </w:style>
  <w:style w:type="paragraph" w:customStyle="1" w:styleId="275">
    <w:name w:val="正文序号 2"/>
    <w:basedOn w:val="1"/>
    <w:qFormat/>
    <w:uiPriority w:val="0"/>
    <w:pPr>
      <w:tabs>
        <w:tab w:val="left" w:pos="1049"/>
      </w:tabs>
      <w:spacing w:before="60"/>
      <w:ind w:left="1049" w:hanging="420"/>
    </w:pPr>
    <w:rPr>
      <w:szCs w:val="24"/>
    </w:rPr>
  </w:style>
  <w:style w:type="character" w:customStyle="1" w:styleId="276">
    <w:name w:val="hover1"/>
    <w:qFormat/>
    <w:uiPriority w:val="0"/>
    <w:rPr>
      <w:color w:val="5FB878"/>
    </w:rPr>
  </w:style>
  <w:style w:type="character" w:customStyle="1" w:styleId="277">
    <w:name w:val="hover2"/>
    <w:qFormat/>
    <w:uiPriority w:val="0"/>
    <w:rPr>
      <w:color w:val="5FB878"/>
    </w:rPr>
  </w:style>
  <w:style w:type="character" w:customStyle="1" w:styleId="278">
    <w:name w:val="hover3"/>
    <w:qFormat/>
    <w:uiPriority w:val="0"/>
    <w:rPr>
      <w:color w:val="FFFFFF"/>
    </w:rPr>
  </w:style>
  <w:style w:type="paragraph" w:customStyle="1" w:styleId="279">
    <w:name w:val="表格内容"/>
    <w:basedOn w:val="1"/>
    <w:qFormat/>
    <w:uiPriority w:val="0"/>
    <w:pPr>
      <w:jc w:val="center"/>
    </w:pPr>
    <w:rPr>
      <w:rFonts w:cs="宋体"/>
      <w:sz w:val="18"/>
      <w:szCs w:val="28"/>
      <w:lang w:val="zh-CN"/>
    </w:rPr>
  </w:style>
  <w:style w:type="paragraph" w:customStyle="1" w:styleId="280">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81">
    <w:name w:val="Char Char1 Char Char Char Char Char Char Char1"/>
    <w:basedOn w:val="1"/>
    <w:qFormat/>
    <w:uiPriority w:val="0"/>
    <w:rPr>
      <w:rFonts w:ascii="Tahoma" w:hAnsi="Tahoma"/>
      <w:sz w:val="24"/>
    </w:rPr>
  </w:style>
  <w:style w:type="character" w:customStyle="1" w:styleId="282">
    <w:name w:val="正文文本 + 12 pt"/>
    <w:qFormat/>
    <w:uiPriority w:val="0"/>
    <w:rPr>
      <w:rFonts w:ascii="宋体" w:hAnsi="宋体" w:eastAsia="宋体" w:cs="宋体"/>
      <w:color w:val="000000"/>
      <w:spacing w:val="3"/>
      <w:position w:val="0"/>
      <w:sz w:val="24"/>
      <w:szCs w:val="24"/>
      <w:u w:val="none"/>
      <w:lang w:val="zh-CN" w:eastAsia="zh-CN" w:bidi="zh-CN"/>
    </w:rPr>
  </w:style>
  <w:style w:type="paragraph" w:customStyle="1" w:styleId="28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4">
    <w:name w:val="永农补划正文"/>
    <w:basedOn w:val="1"/>
    <w:qFormat/>
    <w:uiPriority w:val="0"/>
    <w:pPr>
      <w:ind w:firstLine="640"/>
    </w:pPr>
    <w:rPr>
      <w:szCs w:val="32"/>
    </w:rPr>
  </w:style>
  <w:style w:type="paragraph" w:customStyle="1" w:styleId="285">
    <w:name w:val="正文文本缩进1"/>
    <w:basedOn w:val="1"/>
    <w:qFormat/>
    <w:uiPriority w:val="0"/>
    <w:pPr>
      <w:spacing w:line="312" w:lineRule="atLeast"/>
      <w:ind w:firstLine="574"/>
    </w:pPr>
    <w:rPr>
      <w:rFonts w:ascii="宋体"/>
      <w:sz w:val="28"/>
    </w:rPr>
  </w:style>
  <w:style w:type="paragraph" w:customStyle="1" w:styleId="286">
    <w:name w:val="Char Char1 Char Char Char Char Char Char Char2"/>
    <w:basedOn w:val="1"/>
    <w:qFormat/>
    <w:uiPriority w:val="0"/>
    <w:rPr>
      <w:rFonts w:ascii="Tahoma" w:hAnsi="Tahoma"/>
      <w:sz w:val="24"/>
    </w:rPr>
  </w:style>
  <w:style w:type="paragraph" w:customStyle="1" w:styleId="287">
    <w:name w:val="修订1"/>
    <w:hidden/>
    <w:unhideWhenUsed/>
    <w:qFormat/>
    <w:uiPriority w:val="99"/>
    <w:rPr>
      <w:rFonts w:ascii="Times New Roman" w:hAnsi="Times New Roman" w:eastAsia="宋体" w:cs="Times New Roman"/>
      <w:sz w:val="21"/>
      <w:lang w:val="en-US" w:eastAsia="zh-CN" w:bidi="ar-SA"/>
    </w:rPr>
  </w:style>
  <w:style w:type="paragraph" w:customStyle="1" w:styleId="288">
    <w:name w:val="修订2"/>
    <w:hidden/>
    <w:unhideWhenUsed/>
    <w:qFormat/>
    <w:uiPriority w:val="99"/>
    <w:rPr>
      <w:rFonts w:ascii="Times New Roman" w:hAnsi="Times New Roman" w:eastAsia="宋体" w:cs="Times New Roman"/>
      <w:sz w:val="21"/>
      <w:lang w:val="en-US" w:eastAsia="zh-CN" w:bidi="ar-SA"/>
    </w:rPr>
  </w:style>
  <w:style w:type="paragraph" w:customStyle="1" w:styleId="289">
    <w:name w:val="修订3"/>
    <w:hidden/>
    <w:unhideWhenUsed/>
    <w:qFormat/>
    <w:uiPriority w:val="99"/>
    <w:rPr>
      <w:rFonts w:ascii="Times New Roman" w:hAnsi="Times New Roman" w:eastAsia="宋体" w:cs="Times New Roman"/>
      <w:sz w:val="21"/>
      <w:lang w:val="en-US" w:eastAsia="zh-CN" w:bidi="ar-SA"/>
    </w:rPr>
  </w:style>
  <w:style w:type="paragraph" w:customStyle="1" w:styleId="290">
    <w:name w:val="修订4"/>
    <w:hidden/>
    <w:unhideWhenUsed/>
    <w:qFormat/>
    <w:uiPriority w:val="99"/>
    <w:rPr>
      <w:rFonts w:ascii="Times New Roman" w:hAnsi="Times New Roman" w:eastAsia="宋体" w:cs="Times New Roman"/>
      <w:sz w:val="21"/>
      <w:lang w:val="en-US" w:eastAsia="zh-CN" w:bidi="ar-SA"/>
    </w:rPr>
  </w:style>
  <w:style w:type="paragraph" w:customStyle="1" w:styleId="291">
    <w:name w:val="修订5"/>
    <w:hidden/>
    <w:unhideWhenUsed/>
    <w:qFormat/>
    <w:uiPriority w:val="99"/>
    <w:rPr>
      <w:rFonts w:ascii="Times New Roman" w:hAnsi="Times New Roman" w:eastAsia="宋体" w:cs="Times New Roman"/>
      <w:sz w:val="21"/>
      <w:lang w:val="en-US" w:eastAsia="zh-CN" w:bidi="ar-SA"/>
    </w:rPr>
  </w:style>
  <w:style w:type="paragraph" w:customStyle="1" w:styleId="292">
    <w:name w:val="修订6"/>
    <w:hidden/>
    <w:unhideWhenUsed/>
    <w:qFormat/>
    <w:uiPriority w:val="99"/>
    <w:rPr>
      <w:rFonts w:ascii="Times New Roman" w:hAnsi="Times New Roman" w:eastAsia="宋体" w:cs="Times New Roman"/>
      <w:sz w:val="21"/>
      <w:lang w:val="en-US" w:eastAsia="zh-CN" w:bidi="ar-SA"/>
    </w:rPr>
  </w:style>
  <w:style w:type="paragraph" w:customStyle="1" w:styleId="293">
    <w:name w:val="Default"/>
    <w:qFormat/>
    <w:uiPriority w:val="0"/>
    <w:pPr>
      <w:widowControl w:val="0"/>
      <w:autoSpaceDE w:val="0"/>
      <w:autoSpaceDN w:val="0"/>
      <w:adjustRightInd w:val="0"/>
    </w:pPr>
    <w:rPr>
      <w:rFonts w:ascii="宋体" w:hAnsi="宋体" w:eastAsia="宋体" w:cs="宋体"/>
      <w:color w:val="000000"/>
      <w:sz w:val="24"/>
      <w:szCs w:val="24"/>
      <w:lang w:val="en-US" w:eastAsia="zh-CN" w:bidi="mn-Mong-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0A35E5-636A-45EC-AD12-E38283C1631A}">
  <ds:schemaRefs/>
</ds:datastoreItem>
</file>

<file path=docProps/app.xml><?xml version="1.0" encoding="utf-8"?>
<Properties xmlns="http://schemas.openxmlformats.org/officeDocument/2006/extended-properties" xmlns:vt="http://schemas.openxmlformats.org/officeDocument/2006/docPropsVTypes">
  <Template>Normal.dotm</Template>
  <Company>SZF</Company>
  <Pages>54</Pages>
  <Words>21517</Words>
  <Characters>22447</Characters>
  <Lines>268</Lines>
  <Paragraphs>75</Paragraphs>
  <TotalTime>9</TotalTime>
  <ScaleCrop>false</ScaleCrop>
  <LinksUpToDate>false</LinksUpToDate>
  <CharactersWithSpaces>22917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2025-12-10T06:43:00Z</dcterms:created>
  <dc:creator>user</dc:creator>
  <cp:lastModifiedBy>小柒</cp:lastModifiedBy>
  <cp:lastPrinted>2025-12-15T09:28:00Z</cp:lastPrinted>
  <dcterms:modified xsi:type="dcterms:W3CDTF">2025-12-26T05:08:37Z</dcterms:modified>
  <dc:title>招  标  文  件</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35A202C358A64799BDEE957D096F7505_13</vt:lpwstr>
  </property>
  <property fmtid="{D5CDD505-2E9C-101B-9397-08002B2CF9AE}" pid="4" name="KSOTemplateDocerSaveRecord">
    <vt:lpwstr>eyJoZGlkIjoiNjQ5NmJjNGY0ZTVkYjlkNGM1MmVmZmRkYjI5NDM0N2IiLCJ1c2VySWQiOiI5NDM5MjMzOTEifQ==</vt:lpwstr>
  </property>
</Properties>
</file>